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gif" ContentType="image/gif"/>
  <Override PartName="/word/media/image2.jpeg" ContentType="image/jpeg"/>
  <Override PartName="/word/media/image3.png" ContentType="image/png"/>
  <Override PartName="/word/styles.xml" ContentType="application/vnd.openxmlformats-officedocument.wordprocessingml.styl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_rels/chart1.xml.rels" ContentType="application/vnd.openxmlformats-package.relationships+xml"/>
  <Override PartName="/word/charts/_rels/chart2.xml.rels" ContentType="application/vnd.openxmlformats-package.relationships+xml"/>
  <Override PartName="/word/charts/_rels/chart3.xml.rels" ContentType="application/vnd.openxmlformats-package.relationships+xml"/>
  <Override PartName="/word/charts/_rels/chart4.xml.rels" ContentType="application/vnd.openxmlformats-package.relationships+xml"/>
  <Override PartName="/word/charts/_rels/chart5.xml.rels" ContentType="application/vnd.openxmlformats-package.relationships+xml"/>
  <Override PartName="/word/charts/_rels/chart6.xml.rels" ContentType="application/vnd.openxmlformats-package.relationships+xml"/>
  <Override PartName="/word/charts/_rels/chart7.xml.rels" ContentType="application/vnd.openxmlformats-package.relationships+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embeddings/Microsoft_Excel_Worksheet.xlsx" ContentType="application/vnd.openxmlformats-officedocument.spreadsheetml.sheet"/>
  <Override PartName="/word/embeddings/Microsoft_Excel_Worksheet2.xlsx" ContentType="application/vnd.openxmlformats-officedocument.spreadsheetml.sheet"/>
  <Override PartName="/word/embeddings/Microsoft_Excel_Worksheet1.xlsx" ContentType="application/vnd.openxmlformats-officedocument.spreadsheetml.sheet"/>
  <Override PartName="/word/embeddings/Microsoft_Excel_Worksheet3.xlsx" ContentType="application/vnd.openxmlformats-officedocument.spreadsheetml.sheet"/>
  <Override PartName="/word/embeddings/Microsoft_Excel_Worksheet4.xlsx" ContentType="application/vnd.openxmlformats-officedocument.spreadsheetml.sheet"/>
  <Override PartName="/word/embeddings/Microsoft_Excel_Worksheet5.xlsx" ContentType="application/vnd.openxmlformats-officedocument.spreadsheetml.sheet"/>
  <Override PartName="/word/embeddings/Microsoft_Excel_Worksheet6.xlsx" ContentType="application/vnd.openxmlformats-officedocument.spreadsheetml.sheet"/>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Web"/>
        <w:spacing w:before="0" w:after="280"/>
        <w:jc w:val="both"/>
        <w:rPr>
          <w:b/>
          <w:bCs/>
          <w:lang w:val="sr-RS"/>
        </w:rPr>
      </w:pPr>
      <w:r>
        <w:rPr>
          <w:b/>
          <w:bCs/>
          <w:lang w:val="sr-RS"/>
        </w:rPr>
        <w:tab/>
        <w:tab/>
        <w:tab/>
        <w:tab/>
        <w:tab/>
        <w:tab/>
        <w:tab/>
        <w:tab/>
        <w:tab/>
        <w:tab/>
        <w:tab/>
        <w:t xml:space="preserve">НАЦРТ </w:t>
      </w:r>
    </w:p>
    <w:p>
      <w:pPr>
        <w:pStyle w:val="NormalWeb"/>
        <w:spacing w:before="0" w:after="280"/>
        <w:jc w:val="both"/>
        <w:rPr>
          <w:b/>
          <w:bCs/>
          <w:lang w:val="sr-RS"/>
        </w:rPr>
      </w:pPr>
      <w:r>
        <w:rPr>
          <w:b/>
          <w:bCs/>
          <w:lang w:val="sr-RS"/>
        </w:rPr>
      </w:r>
    </w:p>
    <w:p>
      <w:pPr>
        <w:pStyle w:val="NormalWeb"/>
        <w:spacing w:before="0" w:after="280"/>
        <w:jc w:val="center"/>
        <w:rPr/>
      </w:pPr>
      <w:r>
        <w:rPr>
          <w:b/>
          <w:bCs/>
          <w:lang w:val="sr-RS"/>
        </w:rPr>
        <w:t>ЛОКАЛНИ АКЦИОНИ ПЛАН ЗА ПОПУЛАЦИОНУ ПОЛИТИКУ ЗА ПЕРИОД ОД 2026. ДО 2028. ГОДИНЕ</w:t>
      </w:r>
    </w:p>
    <w:p>
      <w:pPr>
        <w:pStyle w:val="NormalWeb"/>
        <w:spacing w:before="280" w:after="280"/>
        <w:jc w:val="center"/>
        <w:rPr/>
      </w:pPr>
      <w:r>
        <w:rPr/>
      </w:r>
    </w:p>
    <w:p>
      <w:pPr>
        <w:pStyle w:val="NormalWeb"/>
        <w:spacing w:before="280" w:after="280"/>
        <w:jc w:val="center"/>
        <w:rPr>
          <w:lang w:val="sr-RS"/>
        </w:rPr>
      </w:pPr>
      <w:r>
        <w:rPr>
          <w:lang w:val="sr-RS"/>
        </w:rPr>
      </w:r>
    </w:p>
    <w:p>
      <w:pPr>
        <w:pStyle w:val="NormalWeb"/>
        <w:spacing w:before="280" w:after="280"/>
        <w:rPr>
          <w:lang w:val="sr-RS"/>
        </w:rPr>
      </w:pPr>
      <w:r>
        <w:rPr>
          <w:lang w:val="sr-RS"/>
        </w:rPr>
      </w:r>
    </w:p>
    <w:p>
      <w:pPr>
        <w:pStyle w:val="NormalWeb"/>
        <w:spacing w:before="280" w:after="280"/>
        <w:rPr>
          <w:lang w:val="sr-RS"/>
        </w:rPr>
      </w:pPr>
      <w:r>
        <w:rPr>
          <w:lang w:val="sr-RS"/>
        </w:rPr>
      </w:r>
    </w:p>
    <w:p>
      <w:pPr>
        <w:pStyle w:val="NormalWeb"/>
        <w:spacing w:before="280" w:after="280"/>
        <w:jc w:val="center"/>
        <w:rPr>
          <w:lang w:val="sr-RS"/>
        </w:rPr>
      </w:pPr>
      <w:r>
        <w:rPr/>
        <w:drawing>
          <wp:inline distT="0" distB="0" distL="0" distR="0">
            <wp:extent cx="1424305" cy="1898650"/>
            <wp:effectExtent l="0" t="0" r="0"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
                    <pic:cNvPicPr>
                      <a:picLocks noChangeAspect="1" noChangeArrowheads="1"/>
                    </pic:cNvPicPr>
                  </pic:nvPicPr>
                  <pic:blipFill>
                    <a:blip r:embed="rId2"/>
                    <a:stretch>
                      <a:fillRect/>
                    </a:stretch>
                  </pic:blipFill>
                  <pic:spPr bwMode="auto">
                    <a:xfrm>
                      <a:off x="0" y="0"/>
                      <a:ext cx="1424305" cy="1898650"/>
                    </a:xfrm>
                    <a:prstGeom prst="rect">
                      <a:avLst/>
                    </a:prstGeom>
                  </pic:spPr>
                </pic:pic>
              </a:graphicData>
            </a:graphic>
          </wp:inline>
        </w:drawing>
      </w:r>
    </w:p>
    <w:p>
      <w:pPr>
        <w:pStyle w:val="Normal"/>
        <w:numPr>
          <w:ilvl w:val="0"/>
          <w:numId w:val="0"/>
        </w:numPr>
        <w:spacing w:beforeAutospacing="1" w:afterAutospacing="1"/>
        <w:ind w:hanging="360" w:left="720"/>
        <w:outlineLvl w:val="1"/>
        <w:rPr>
          <w:lang w:val="sr-RS"/>
        </w:rPr>
      </w:pPr>
      <w:r>
        <w:rPr>
          <w:lang w:val="sr-RS"/>
        </w:rPr>
      </w:r>
    </w:p>
    <w:p>
      <w:pPr>
        <w:pStyle w:val="Normal"/>
        <w:numPr>
          <w:ilvl w:val="0"/>
          <w:numId w:val="0"/>
        </w:numPr>
        <w:spacing w:beforeAutospacing="1" w:afterAutospacing="1"/>
        <w:ind w:hanging="360" w:left="720"/>
        <w:outlineLvl w:val="1"/>
        <w:rPr>
          <w:lang w:val="sr-RS"/>
        </w:rPr>
      </w:pPr>
      <w:r>
        <w:rPr>
          <w:lang w:val="sr-RS"/>
        </w:rPr>
      </w:r>
    </w:p>
    <w:p>
      <w:pPr>
        <w:pStyle w:val="Normal"/>
        <w:numPr>
          <w:ilvl w:val="0"/>
          <w:numId w:val="0"/>
        </w:numPr>
        <w:spacing w:beforeAutospacing="1" w:afterAutospacing="1"/>
        <w:ind w:hanging="360" w:left="720"/>
        <w:outlineLvl w:val="1"/>
        <w:rPr>
          <w:lang w:val="sr-RS"/>
        </w:rPr>
      </w:pPr>
      <w:r>
        <w:rPr>
          <w:lang w:val="sr-RS"/>
        </w:rPr>
      </w:r>
    </w:p>
    <w:p>
      <w:pPr>
        <w:pStyle w:val="Normal"/>
        <w:numPr>
          <w:ilvl w:val="0"/>
          <w:numId w:val="0"/>
        </w:numPr>
        <w:spacing w:beforeAutospacing="1" w:afterAutospacing="1"/>
        <w:ind w:hanging="360" w:left="720"/>
        <w:outlineLvl w:val="1"/>
        <w:rPr>
          <w:lang w:val="sr-RS"/>
        </w:rPr>
      </w:pPr>
      <w:r>
        <w:rPr>
          <w:lang w:val="sr-RS"/>
        </w:rPr>
      </w:r>
    </w:p>
    <w:p>
      <w:pPr>
        <w:pStyle w:val="Normal"/>
        <w:numPr>
          <w:ilvl w:val="0"/>
          <w:numId w:val="0"/>
        </w:numPr>
        <w:spacing w:beforeAutospacing="1" w:afterAutospacing="1"/>
        <w:ind w:hanging="360" w:left="720"/>
        <w:outlineLvl w:val="1"/>
        <w:rPr>
          <w:lang w:val="sr-RS"/>
        </w:rPr>
      </w:pPr>
      <w:r>
        <w:rPr>
          <w:lang w:val="sr-RS"/>
        </w:rPr>
      </w:r>
    </w:p>
    <w:p>
      <w:pPr>
        <w:pStyle w:val="Normal"/>
        <w:numPr>
          <w:ilvl w:val="0"/>
          <w:numId w:val="0"/>
        </w:numPr>
        <w:spacing w:beforeAutospacing="1" w:afterAutospacing="1"/>
        <w:ind w:hanging="360" w:left="720"/>
        <w:outlineLvl w:val="1"/>
        <w:rPr>
          <w:lang w:val="sr-RS"/>
        </w:rPr>
      </w:pPr>
      <w:r>
        <w:rPr>
          <w:lang w:val="sr-RS"/>
        </w:rPr>
      </w:r>
    </w:p>
    <w:p>
      <w:pPr>
        <w:pStyle w:val="Normal"/>
        <w:numPr>
          <w:ilvl w:val="0"/>
          <w:numId w:val="0"/>
        </w:numPr>
        <w:spacing w:beforeAutospacing="1" w:afterAutospacing="1"/>
        <w:ind w:hanging="360" w:left="720"/>
        <w:outlineLvl w:val="1"/>
        <w:rPr>
          <w:lang w:val="sr-RS"/>
        </w:rPr>
      </w:pPr>
      <w:r>
        <w:rPr>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t>РЕЧ ПРЕДСЕДНИЦЕ ОПШТИНЕ</w:t>
      </w:r>
    </w:p>
    <w:p>
      <w:pPr>
        <w:pStyle w:val="Normal"/>
        <w:rPr>
          <w:color w:themeColor="text1" w:val="000000"/>
          <w:lang w:val="sr-RS"/>
        </w:rPr>
      </w:pPr>
      <w:r>
        <w:rPr>
          <w:color w:themeColor="text1" w:val="000000"/>
          <w:lang w:val="sr-RS"/>
        </w:rPr>
      </w:r>
    </w:p>
    <w:p>
      <w:pPr>
        <w:pStyle w:val="Normal"/>
        <w:rPr>
          <w:color w:themeColor="text1" w:val="000000"/>
          <w:lang w:val="sr-RS"/>
        </w:rPr>
      </w:pPr>
      <w:r>
        <w:rPr>
          <w:color w:themeColor="text1" w:val="000000"/>
          <w:lang w:val="sr-RS"/>
        </w:rPr>
      </w:r>
    </w:p>
    <w:p>
      <w:pPr>
        <w:pStyle w:val="BodyText"/>
        <w:jc w:val="both"/>
        <w:rPr>
          <w:color w:val="000000"/>
          <w:lang w:val="sr-RS"/>
        </w:rPr>
      </w:pPr>
      <w:r>
        <w:rPr>
          <w:color w:val="000000"/>
          <w:lang w:val="sr-RS"/>
        </w:rPr>
        <w:t xml:space="preserve">Поштоване суграђанке и суграђани, </w:t>
      </w:r>
    </w:p>
    <w:p>
      <w:pPr>
        <w:pStyle w:val="BodyText"/>
        <w:jc w:val="both"/>
        <w:rPr>
          <w:color w:val="000000"/>
          <w:lang w:val="sr-RS"/>
        </w:rPr>
      </w:pPr>
      <w:r>
        <w:rPr>
          <w:color w:val="000000"/>
          <w:lang w:val="sr-RS"/>
        </w:rPr>
        <w:t xml:space="preserve">  </w:t>
      </w:r>
      <w:r>
        <w:rPr>
          <w:color w:val="000000"/>
          <w:lang w:val="sr-RS"/>
        </w:rPr>
        <w:t xml:space="preserve">Пред Вама је Локални акциони план за популациону политику општине Беочин за период од 2026. до 2028. године – стратешки документ који представља основу и системски предуслов за стварање подстицајног и сигурног окружења за породице, млађе и старије грађане у нашој општини. </w:t>
      </w:r>
    </w:p>
    <w:p>
      <w:pPr>
        <w:pStyle w:val="BodyText"/>
        <w:jc w:val="both"/>
        <w:rPr>
          <w:color w:val="000000"/>
          <w:lang w:val="sr-RS"/>
        </w:rPr>
      </w:pPr>
      <w:r>
        <w:rPr>
          <w:color w:val="000000"/>
          <w:lang w:val="sr-RS"/>
        </w:rPr>
        <w:t xml:space="preserve">  </w:t>
      </w:r>
      <w:r>
        <w:rPr>
          <w:color w:val="000000"/>
          <w:lang w:val="sr-RS"/>
        </w:rPr>
        <w:t xml:space="preserve">Суoчени са изазовима савременог доба попут негативног природног прираштаја, учесталих миграција становништва и промена  у начину стилова живота, као одговорна локална заједница дужни смо да предузмемо кораке и мере које ће понудити дугорочнија решења и креирати јасан  институционални систем подршке усмерен на добробит наших суграђана и генерација које тек долазе. </w:t>
      </w:r>
    </w:p>
    <w:p>
      <w:pPr>
        <w:pStyle w:val="BodyText"/>
        <w:jc w:val="both"/>
        <w:rPr>
          <w:lang w:val="sr-RS"/>
        </w:rPr>
      </w:pPr>
      <w:r>
        <w:rPr>
          <w:color w:val="000000"/>
          <w:lang w:val="sr-RS"/>
        </w:rPr>
        <w:t xml:space="preserve">  </w:t>
      </w:r>
      <w:r>
        <w:rPr>
          <w:color w:val="000000"/>
          <w:lang w:val="sr-RS"/>
        </w:rPr>
        <w:t>Полазећи од анализа демографских кретања и потреба локалног становништва, Општина Беочин је у периоду од 2020. до 2025. године  спровела читав низ мера које су понудиле конкретне механизме подршке нашим грађанима и са</w:t>
      </w:r>
      <w:r>
        <w:rPr>
          <w:color w:val="222222"/>
          <w:lang w:val="sr-RS"/>
        </w:rPr>
        <w:t xml:space="preserve"> </w:t>
      </w:r>
      <w:r>
        <w:rPr>
          <w:color w:val="000000"/>
          <w:lang w:val="sr-RS"/>
        </w:rPr>
        <w:t xml:space="preserve">поносом истичемо да смо једна од ретких општина која истовремено спроводи мере као што су финансирање трошкова боравка у вртићима за сву уписану децу, обезбеђивање бесплатних комплета уџбеника за све основце са територије општине Беочин, пружање подстицаја кроз новчане награде и стипендије за најбоље ученике и студенте, бесплатну матуру за све беочинске матуранте, новчану награду за прворођену бебу у једној календарској години али и финансирање услуга неге и подршке старијим суграђанима кроз програм „Помоћ у кући за старе“ и др. </w:t>
      </w:r>
    </w:p>
    <w:p>
      <w:pPr>
        <w:pStyle w:val="BodyText"/>
        <w:jc w:val="both"/>
        <w:rPr>
          <w:lang w:val="sr-RS"/>
        </w:rPr>
      </w:pPr>
      <w:r>
        <w:rPr>
          <w:color w:val="000000"/>
          <w:lang w:val="sr-RS"/>
        </w:rPr>
        <w:t xml:space="preserve">   </w:t>
      </w:r>
      <w:r>
        <w:rPr>
          <w:color w:val="000000"/>
          <w:lang w:val="sr-RS"/>
        </w:rPr>
        <w:t xml:space="preserve">Поред наведеног, Општина Беочин је из локалног буџета али и у сарадњи са партнерима спровела значајна улагања у реконструкцију и опремање како предшколских установа тако и свих школских објеката, затим установа културе и здравства а све у циљу унапређења услова боравка грађана и запослених у објектима од јавног значаја. </w:t>
      </w:r>
    </w:p>
    <w:p>
      <w:pPr>
        <w:pStyle w:val="BodyText"/>
        <w:jc w:val="both"/>
        <w:rPr>
          <w:color w:val="000000"/>
          <w:lang w:val="sr-RS"/>
        </w:rPr>
      </w:pPr>
      <w:r>
        <w:rPr>
          <w:color w:val="000000"/>
          <w:lang w:val="sr-RS"/>
        </w:rPr>
        <w:t xml:space="preserve">   </w:t>
      </w:r>
      <w:r>
        <w:rPr>
          <w:color w:val="000000"/>
          <w:lang w:val="sr-RS"/>
        </w:rPr>
        <w:t>На овај начин, Беочин је учинио први корак и показао спремност да темељно гради своју демографску и социјалну политику те израда Локалног акционог плана представља неопходност у даљем развоју системских, одрживих и координисаних мера, заснованих на подацима, искуству и партиципативном приступу.</w:t>
      </w:r>
    </w:p>
    <w:p>
      <w:pPr>
        <w:pStyle w:val="BodyText"/>
        <w:jc w:val="both"/>
        <w:rPr>
          <w:color w:val="000000"/>
          <w:lang w:val="sr-RS"/>
        </w:rPr>
      </w:pPr>
      <w:r>
        <w:drawing>
          <wp:anchor behindDoc="0" distT="0" distB="0" distL="0" distR="0" simplePos="0" locked="0" layoutInCell="0" allowOverlap="1" relativeHeight="4">
            <wp:simplePos x="0" y="0"/>
            <wp:positionH relativeFrom="column">
              <wp:posOffset>4587240</wp:posOffset>
            </wp:positionH>
            <wp:positionV relativeFrom="paragraph">
              <wp:posOffset>615950</wp:posOffset>
            </wp:positionV>
            <wp:extent cx="856615" cy="1205865"/>
            <wp:effectExtent l="0" t="0" r="0" b="0"/>
            <wp:wrapSquare wrapText="largest"/>
            <wp:docPr id="2"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descr=""/>
                    <pic:cNvPicPr>
                      <a:picLocks noChangeAspect="1" noChangeArrowheads="1"/>
                    </pic:cNvPicPr>
                  </pic:nvPicPr>
                  <pic:blipFill>
                    <a:blip r:embed="rId3"/>
                    <a:stretch>
                      <a:fillRect/>
                    </a:stretch>
                  </pic:blipFill>
                  <pic:spPr bwMode="auto">
                    <a:xfrm>
                      <a:off x="0" y="0"/>
                      <a:ext cx="856615" cy="1205865"/>
                    </a:xfrm>
                    <a:prstGeom prst="rect">
                      <a:avLst/>
                    </a:prstGeom>
                  </pic:spPr>
                </pic:pic>
              </a:graphicData>
            </a:graphic>
          </wp:anchor>
        </w:drawing>
      </w:r>
      <w:r>
        <w:rPr>
          <w:color w:val="000000"/>
          <w:lang w:val="sr-RS"/>
        </w:rPr>
        <w:t xml:space="preserve">  </w:t>
      </w:r>
      <w:r>
        <w:rPr>
          <w:color w:val="000000"/>
          <w:lang w:val="sr-RS"/>
        </w:rPr>
        <w:t xml:space="preserve">Локални акциони план нуди јасне смернице за унапређење сарадње између јавних служби, образовних и здравствених установа, цивилног сектора и самих грађана а све то у циљу  ефикасног спровођења јавних политика у складу са дугорочним развојним циљевима и потребама грађана. </w:t>
      </w:r>
    </w:p>
    <w:p>
      <w:pPr>
        <w:pStyle w:val="BodyText"/>
        <w:jc w:val="both"/>
        <w:rPr>
          <w:color w:val="000000"/>
          <w:lang w:val="sr-RS"/>
        </w:rPr>
      </w:pPr>
      <w:r>
        <w:rPr>
          <w:color w:val="000000"/>
          <w:lang w:val="sr-RS"/>
        </w:rPr>
      </w:r>
    </w:p>
    <w:p>
      <w:pPr>
        <w:pStyle w:val="BodyText"/>
        <w:jc w:val="both"/>
        <w:rPr>
          <w:color w:themeColor="text1" w:val="000000"/>
          <w:lang w:val="sr-RS"/>
        </w:rPr>
      </w:pPr>
      <w:r>
        <w:rPr>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r>
    </w:p>
    <w:p>
      <w:pPr>
        <w:pStyle w:val="Normal"/>
        <w:rPr>
          <w:b/>
          <w:bCs/>
          <w:color w:themeColor="text1" w:val="000000"/>
          <w:lang w:val="sr-RS"/>
        </w:rPr>
      </w:pPr>
      <w:r>
        <w:rPr>
          <w:b/>
          <w:bCs/>
          <w:color w:themeColor="text1" w:val="000000"/>
          <w:lang w:val="sr-RS"/>
        </w:rPr>
        <w:t>САДРЖАЈ</w:t>
      </w:r>
    </w:p>
    <w:p>
      <w:pPr>
        <w:pStyle w:val="Normal"/>
        <w:rPr>
          <w:color w:themeColor="text1" w:val="000000"/>
          <w:lang w:val="sr-RS"/>
        </w:rPr>
      </w:pPr>
      <w:r>
        <w:rPr>
          <w:color w:themeColor="text1" w:val="000000"/>
          <w:lang w:val="sr-RS"/>
        </w:rPr>
      </w:r>
    </w:p>
    <w:tbl>
      <w:tblPr>
        <w:tblStyle w:val="TableGrid"/>
        <w:tblW w:w="901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8074"/>
        <w:gridCol w:w="941"/>
      </w:tblGrid>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rPr>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Latn-RS"/>
              </w:rPr>
            </w:pPr>
            <w:r>
              <w:rPr>
                <w:color w:val="52525B"/>
                <w:sz w:val="28"/>
                <w:szCs w:val="28"/>
                <w:lang w:val="sr-RS" w:bidi="ar-SA"/>
              </w:rPr>
              <w:t xml:space="preserve">       </w:t>
            </w:r>
            <w:r>
              <w:rPr>
                <w:color w:val="52525B"/>
                <w:sz w:val="28"/>
                <w:szCs w:val="28"/>
                <w:lang w:val="sr-RS" w:bidi="ar-SA"/>
              </w:rPr>
              <w:t>Реч председнице општине</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3</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1.    Увод</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5</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2.    Правни оквир</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6</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3.    Сврха и значај ЛАП-а</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7</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4.    Методолошки приступ</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8</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5.    Географски положај општине Беочин</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9</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6.    Социо – економске карактеристике општине Беочин</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10</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7.    Деск анализа демографске ситуације</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15</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8.    Анализа примарних података</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18</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Normal"/>
              <w:widowControl w:val="false"/>
              <w:suppressAutoHyphens w:val="true"/>
              <w:spacing w:lineRule="atLeast" w:line="360" w:before="0" w:after="0"/>
              <w:jc w:val="left"/>
              <w:rPr>
                <w:color w:val="52525B"/>
                <w:sz w:val="28"/>
                <w:szCs w:val="28"/>
                <w:lang w:val="sr-RS"/>
              </w:rPr>
            </w:pPr>
            <w:r>
              <w:rPr>
                <w:color w:val="52525B"/>
                <w:sz w:val="28"/>
                <w:szCs w:val="28"/>
                <w:lang w:val="sr-RS" w:bidi="ar-SA"/>
              </w:rPr>
              <w:t>8.1 Анализа примарних података прикупљених од општине</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19</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Normal"/>
              <w:widowControl w:val="false"/>
              <w:suppressAutoHyphens w:val="true"/>
              <w:spacing w:lineRule="atLeast" w:line="360" w:before="0" w:after="0"/>
              <w:jc w:val="left"/>
              <w:rPr>
                <w:color w:val="52525B"/>
                <w:sz w:val="28"/>
                <w:szCs w:val="28"/>
                <w:lang w:val="sr-RS"/>
              </w:rPr>
            </w:pPr>
            <w:r>
              <w:rPr>
                <w:color w:val="52525B"/>
                <w:sz w:val="28"/>
                <w:szCs w:val="28"/>
                <w:lang w:val="sr-RS" w:bidi="ar-SA"/>
              </w:rPr>
              <w:t>8.2 Анализа примарних података прикупљених од институција</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24</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Normal"/>
              <w:widowControl w:val="false"/>
              <w:suppressAutoHyphens w:val="true"/>
              <w:spacing w:lineRule="atLeast" w:line="360" w:before="0" w:after="0"/>
              <w:jc w:val="left"/>
              <w:rPr>
                <w:color w:val="52525B"/>
                <w:sz w:val="28"/>
                <w:szCs w:val="28"/>
                <w:lang w:val="sr-RS"/>
              </w:rPr>
            </w:pPr>
            <w:r>
              <w:rPr>
                <w:color w:val="52525B"/>
                <w:sz w:val="28"/>
                <w:szCs w:val="28"/>
                <w:lang w:val="sr-RS" w:bidi="ar-SA"/>
              </w:rPr>
              <w:t>8.3 Анализа примарних података прикупљених од грађана</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32</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9.    Увод у SWOT анализу</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40</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10.Стратешки и општи циљеви</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41</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11.Оперативни оквир ЛАП-а</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43</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12.Имплементација ЛАП-а за популациону политику 2026 – 2028</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47</w:t>
            </w:r>
          </w:p>
          <w:p>
            <w:pPr>
              <w:pStyle w:val="Normal"/>
              <w:widowControl w:val="false"/>
              <w:suppressAutoHyphens w:val="true"/>
              <w:spacing w:before="0" w:after="0"/>
              <w:jc w:val="right"/>
              <w:rPr>
                <w:sz w:val="28"/>
                <w:szCs w:val="28"/>
                <w:lang w:val="sr-RS"/>
              </w:rPr>
            </w:pPr>
            <w:r>
              <w:rPr>
                <w:sz w:val="28"/>
                <w:szCs w:val="28"/>
                <w:lang w:val="sr-RS"/>
              </w:rPr>
            </w:r>
          </w:p>
        </w:tc>
      </w:tr>
      <w:tr>
        <w:trPr/>
        <w:tc>
          <w:tcPr>
            <w:tcW w:w="8074" w:type="dxa"/>
            <w:tcBorders>
              <w:top w:val="nil"/>
              <w:left w:val="nil"/>
              <w:bottom w:val="nil"/>
              <w:right w:val="nil"/>
            </w:tcBorders>
          </w:tcPr>
          <w:p>
            <w:pPr>
              <w:pStyle w:val="ListParagraph"/>
              <w:widowControl w:val="false"/>
              <w:suppressAutoHyphens w:val="true"/>
              <w:spacing w:lineRule="atLeast" w:line="360" w:before="0" w:after="0"/>
              <w:ind w:hanging="360" w:left="720"/>
              <w:contextualSpacing/>
              <w:jc w:val="left"/>
              <w:rPr>
                <w:color w:val="52525B"/>
                <w:sz w:val="28"/>
                <w:szCs w:val="28"/>
                <w:lang w:val="sr-RS"/>
              </w:rPr>
            </w:pPr>
            <w:r>
              <w:rPr>
                <w:color w:val="52525B"/>
                <w:sz w:val="28"/>
                <w:szCs w:val="28"/>
                <w:lang w:val="sr-RS" w:bidi="ar-SA"/>
              </w:rPr>
              <w:t>13.Закључак</w:t>
            </w:r>
          </w:p>
        </w:tc>
        <w:tc>
          <w:tcPr>
            <w:tcW w:w="941" w:type="dxa"/>
            <w:tcBorders>
              <w:top w:val="nil"/>
              <w:left w:val="nil"/>
              <w:bottom w:val="nil"/>
              <w:right w:val="nil"/>
            </w:tcBorders>
          </w:tcPr>
          <w:p>
            <w:pPr>
              <w:pStyle w:val="Normal"/>
              <w:widowControl w:val="false"/>
              <w:suppressAutoHyphens w:val="true"/>
              <w:spacing w:before="0" w:after="0"/>
              <w:jc w:val="right"/>
              <w:rPr>
                <w:sz w:val="28"/>
                <w:szCs w:val="28"/>
                <w:lang w:val="sr-RS"/>
              </w:rPr>
            </w:pPr>
            <w:r>
              <w:rPr>
                <w:sz w:val="28"/>
                <w:szCs w:val="28"/>
                <w:lang w:val="sr-RS" w:bidi="ar-SA"/>
              </w:rPr>
              <w:t>52</w:t>
            </w:r>
          </w:p>
          <w:p>
            <w:pPr>
              <w:pStyle w:val="Normal"/>
              <w:widowControl w:val="false"/>
              <w:suppressAutoHyphens w:val="true"/>
              <w:spacing w:before="0" w:after="0"/>
              <w:jc w:val="right"/>
              <w:rPr>
                <w:sz w:val="28"/>
                <w:szCs w:val="28"/>
                <w:lang w:val="sr-RS"/>
              </w:rPr>
            </w:pPr>
            <w:r>
              <w:rPr>
                <w:sz w:val="28"/>
                <w:szCs w:val="28"/>
                <w:lang w:val="sr-RS"/>
              </w:rPr>
            </w:r>
          </w:p>
        </w:tc>
      </w:tr>
    </w:tbl>
    <w:p>
      <w:pPr>
        <w:pStyle w:val="Normal"/>
        <w:rPr>
          <w:rStyle w:val="Hyperlink"/>
          <w:b/>
          <w:bCs/>
          <w:caps/>
          <w:sz w:val="28"/>
          <w:szCs w:val="28"/>
          <w:lang w:val="sr-RS"/>
        </w:rPr>
      </w:pPr>
      <w:r>
        <w:rPr>
          <w:b/>
          <w:bCs/>
          <w:caps/>
          <w:sz w:val="28"/>
          <w:szCs w:val="28"/>
          <w:lang w:val="sr-RS"/>
        </w:rPr>
      </w:r>
    </w:p>
    <w:p>
      <w:pPr>
        <w:pStyle w:val="Normal"/>
        <w:rPr>
          <w:rStyle w:val="Hyperlink"/>
          <w:b/>
          <w:bCs/>
          <w:caps/>
          <w:sz w:val="28"/>
          <w:szCs w:val="28"/>
          <w:lang w:val="sr-RS"/>
        </w:rPr>
      </w:pPr>
      <w:r>
        <w:rPr>
          <w:b/>
          <w:bCs/>
          <w:caps/>
          <w:sz w:val="28"/>
          <w:szCs w:val="28"/>
          <w:lang w:val="sr-RS"/>
        </w:rPr>
      </w:r>
    </w:p>
    <w:p>
      <w:pPr>
        <w:pStyle w:val="Normal"/>
        <w:rPr>
          <w:rStyle w:val="Hyperlink"/>
          <w:b/>
          <w:bCs/>
          <w:caps/>
          <w:sz w:val="28"/>
          <w:szCs w:val="28"/>
          <w:lang w:val="sr-RS"/>
        </w:rPr>
      </w:pPr>
      <w:r>
        <w:rPr>
          <w:b/>
          <w:bCs/>
          <w:caps/>
          <w:sz w:val="28"/>
          <w:szCs w:val="28"/>
          <w:lang w:val="sr-RS"/>
        </w:rPr>
      </w:r>
    </w:p>
    <w:p>
      <w:pPr>
        <w:pStyle w:val="Normal"/>
        <w:rPr>
          <w:rStyle w:val="Hyperlink"/>
          <w:b/>
          <w:bCs/>
          <w:caps/>
          <w:sz w:val="28"/>
          <w:szCs w:val="28"/>
          <w:lang w:val="sr-RS"/>
        </w:rPr>
      </w:pPr>
      <w:r>
        <w:rPr>
          <w:b/>
          <w:bCs/>
          <w:caps/>
          <w:sz w:val="28"/>
          <w:szCs w:val="28"/>
          <w:lang w:val="sr-RS"/>
        </w:rPr>
      </w:r>
    </w:p>
    <w:p>
      <w:pPr>
        <w:pStyle w:val="ListParagraph"/>
        <w:numPr>
          <w:ilvl w:val="0"/>
          <w:numId w:val="1"/>
        </w:numPr>
        <w:spacing w:beforeAutospacing="1" w:afterAutospacing="1"/>
        <w:contextualSpacing/>
        <w:jc w:val="both"/>
        <w:outlineLvl w:val="1"/>
        <w:rPr>
          <w:lang w:val="sr-RS"/>
        </w:rPr>
      </w:pPr>
      <w:r>
        <w:rPr>
          <w:b/>
          <w:bCs/>
          <w:color w:themeColor="text1" w:val="000000"/>
          <w:lang w:val="sr-RS"/>
        </w:rPr>
        <w:t>УВОД</w:t>
      </w:r>
    </w:p>
    <w:p>
      <w:pPr>
        <w:pStyle w:val="Normal"/>
        <w:spacing w:beforeAutospacing="1" w:afterAutospacing="1"/>
        <w:jc w:val="both"/>
        <w:rPr>
          <w:lang w:val="sr-RS"/>
        </w:rPr>
      </w:pPr>
      <w:r>
        <w:rPr>
          <w:color w:themeColor="text1" w:val="000000"/>
          <w:lang w:val="sr-RS"/>
        </w:rPr>
        <w:t>Општина Беочин, као део урбаног приградског прстена Новог Сада, налази се на пресеку утицаја већих урбаних центара и изазова карактеристичних за мање средине. Са укупно</w:t>
      </w:r>
      <w:r>
        <w:rPr>
          <w:color w:val="C9211E"/>
          <w:lang w:val="sr-RS"/>
        </w:rPr>
        <w:t xml:space="preserve"> </w:t>
      </w:r>
      <w:r>
        <w:rPr>
          <w:color w:val="212121"/>
          <w:lang w:val="sr-RS"/>
        </w:rPr>
        <w:t xml:space="preserve">13.875 </w:t>
      </w:r>
      <w:r>
        <w:rPr>
          <w:color w:themeColor="text1" w:val="000000"/>
          <w:lang w:val="sr-RS"/>
        </w:rPr>
        <w:t>становника према последњем попису, Беочин бележи релативну демографску стагнацију. Иако географски добро позиционирана, општина се суочава са бројним изазовима – падом наталитета, одласком младих, недовољном подршком родитељству и породичном животу, као и ограниченом доступношћу услуга за децу и младе у руралним деловима.</w:t>
      </w:r>
    </w:p>
    <w:p>
      <w:pPr>
        <w:pStyle w:val="Normal"/>
        <w:spacing w:beforeAutospacing="1" w:afterAutospacing="1"/>
        <w:jc w:val="both"/>
        <w:rPr>
          <w:lang w:val="sr-RS"/>
        </w:rPr>
      </w:pPr>
      <w:r>
        <w:rPr>
          <w:color w:themeColor="text1" w:val="000000"/>
          <w:lang w:val="sr-RS"/>
        </w:rPr>
        <w:t>Близина Новог Сада доноси одређене развојне предности, али и ризик од "одлива потенцијала", јер млади често напуштају општину у потрази за бољим образовним, запослењем и стамбеним условима. Истовремено, унутар самог Беочина постоји простор за развој кохерентне, дугорочне и реалним потребама прилагођене популационе политике. Посебно је важно ојачати подршку породицама у свим фазама родитељства, од трудноће и порођаја, до раног образовања и васпитања, те осигурати услове за бољу усаглашеност пословног и породичног живота.</w:t>
      </w:r>
    </w:p>
    <w:p>
      <w:pPr>
        <w:pStyle w:val="Normal"/>
        <w:spacing w:beforeAutospacing="1" w:afterAutospacing="1"/>
        <w:jc w:val="both"/>
        <w:rPr>
          <w:lang w:val="sr-RS"/>
        </w:rPr>
      </w:pPr>
      <w:r>
        <w:rPr>
          <w:color w:themeColor="text1" w:val="000000"/>
          <w:lang w:val="sr-RS"/>
        </w:rPr>
        <w:t>Локални акциони план (ЛАП) за популациону политику је стратешки документ локалне самоуправе којим се, на основу анализа демографских кретања и локалних потреба, утврђују приоритети, циљеви и мере подршке породицама, родитељству и деци. Он служи као основ за системско планирање, координацију и спровођење активности у области демографске обнове, и представља инструмент за унапређење јавних политика у складу са дугорочним развојним циљевима заједнице.</w:t>
      </w:r>
    </w:p>
    <w:p>
      <w:pPr>
        <w:pStyle w:val="Normal"/>
        <w:spacing w:beforeAutospacing="1" w:afterAutospacing="1"/>
        <w:jc w:val="both"/>
        <w:rPr>
          <w:lang w:val="sr-RS"/>
        </w:rPr>
      </w:pPr>
      <w:r>
        <w:rPr>
          <w:color w:themeColor="text1" w:val="000000"/>
          <w:lang w:val="sr-RS"/>
        </w:rPr>
        <w:t>Израда Локалног акционог плана за популациону политику представља системски одговор на потребу за бољом координацијом и ефикаснијом употребом постојећих ресурса. Овај документ има за циљ да идентификује кључне области интервенције, дефинише приоритетне мере и омогући праћење и евалуацију ефеката. ЛАП ће представљати платформу за унапређење сарадње између јавних служби, образовних и здравствених установа, цивилног сектора и самих грађана, уз отвореност ка регионалним и међународним партнерствима.</w:t>
      </w:r>
    </w:p>
    <w:p>
      <w:pPr>
        <w:pStyle w:val="Normal"/>
        <w:spacing w:beforeAutospacing="1" w:afterAutospacing="1"/>
        <w:rPr>
          <w:color w:themeColor="text1" w:val="000000"/>
          <w:lang w:val="sr-RS"/>
        </w:rPr>
      </w:pPr>
      <w:r>
        <w:rPr>
          <w:color w:themeColor="text1" w:val="000000"/>
          <w:lang w:val="sr-RS"/>
        </w:rPr>
        <w:t>Уз већ постојеће мере, попут бесплатног предшколског васпитања, бесплатних уџбеника, стипендија за средњошколце, бесплатнe матурскe вечери за све матуранте, подршке првој рођеној беби у години, као и улагања у реконструкцију и опремање предшколских установа и школа – Беочин показује спремност да темељно гради своју демографску и социјалну политику. Израда ЛАП-а у овом тренутку представља наредни, кључни корак у даљем развоју системских, одрживих и координисаних мера, заснованих на подацима, искуству и партиципативном приступу.</w:t>
      </w:r>
    </w:p>
    <w:p>
      <w:pPr>
        <w:pStyle w:val="Normal"/>
        <w:spacing w:beforeAutospacing="1" w:afterAutospacing="1"/>
        <w:rPr>
          <w:color w:themeColor="text1" w:val="000000"/>
          <w:lang w:val="sr-RS"/>
        </w:rPr>
      </w:pPr>
      <w:r>
        <w:rPr>
          <w:color w:themeColor="text1" w:val="000000"/>
          <w:lang w:val="sr-RS"/>
        </w:rPr>
        <w:t>Локални акциони план за популациону политику општине Беочин за период 2026 – 2028 финансиран је средствима Покрајинског секретаријата за социјалну политику, демографију и равноправност полова.</w:t>
      </w:r>
    </w:p>
    <w:p>
      <w:pPr>
        <w:pStyle w:val="Heading1"/>
        <w:numPr>
          <w:ilvl w:val="0"/>
          <w:numId w:val="1"/>
        </w:numPr>
        <w:rPr>
          <w:rFonts w:ascii="Times New Roman" w:hAnsi="Times New Roman" w:eastAsia="Times New Roman" w:cs="Times New Roman"/>
          <w:b/>
          <w:bCs/>
          <w:color w:themeColor="text1" w:val="000000"/>
          <w:sz w:val="24"/>
          <w:szCs w:val="24"/>
          <w:lang w:val="sr-RS"/>
        </w:rPr>
      </w:pPr>
      <w:r>
        <w:rPr>
          <w:rFonts w:eastAsia="Times New Roman" w:cs="Times New Roman" w:ascii="Times New Roman" w:hAnsi="Times New Roman"/>
          <w:b/>
          <w:bCs/>
          <w:color w:themeColor="text1" w:val="000000"/>
          <w:sz w:val="24"/>
          <w:szCs w:val="24"/>
          <w:lang w:val="sr-RS"/>
        </w:rPr>
        <w:t>ПРАВНИ ОКВИР</w:t>
      </w:r>
    </w:p>
    <w:p>
      <w:pPr>
        <w:pStyle w:val="NormalWeb"/>
        <w:spacing w:before="280" w:after="280"/>
        <w:rPr>
          <w:color w:themeColor="text1" w:val="000000"/>
          <w:lang w:val="sr-RS"/>
        </w:rPr>
      </w:pPr>
      <w:r>
        <w:rPr>
          <w:color w:themeColor="text1" w:val="000000"/>
          <w:lang w:val="sr-RS"/>
        </w:rPr>
        <w:t>Израда Локалног акционог плана за популациону политику заснива се на важећем националном, покрајинском и локалном правном оквиру, који дефинише надлежности јединица локалне самоуправе у области подршке породици, родитељству и демографском развоју.</w:t>
      </w:r>
    </w:p>
    <w:p>
      <w:pPr>
        <w:pStyle w:val="NormalWeb"/>
        <w:spacing w:before="280" w:after="280"/>
        <w:rPr>
          <w:color w:themeColor="text1" w:val="000000"/>
          <w:lang w:val="sr-RS"/>
        </w:rPr>
      </w:pPr>
      <w:r>
        <w:rPr>
          <w:color w:themeColor="text1" w:val="000000"/>
          <w:lang w:val="sr-RS"/>
        </w:rPr>
        <w:t>Кључни документи који усмеравају креирање ЛАП-а су:</w:t>
      </w:r>
    </w:p>
    <w:p>
      <w:pPr>
        <w:pStyle w:val="NormalWeb"/>
        <w:spacing w:before="280" w:after="280"/>
        <w:rPr>
          <w:color w:themeColor="text1" w:val="000000"/>
          <w:lang w:val="sr-RS"/>
        </w:rPr>
      </w:pPr>
      <w:r>
        <w:rPr>
          <w:rStyle w:val="Strong"/>
          <w:color w:themeColor="text1" w:val="000000"/>
          <w:lang w:val="sr-RS"/>
        </w:rPr>
        <w:t>1. Закон о родној равноправности</w:t>
      </w:r>
      <w:r>
        <w:rPr>
          <w:rStyle w:val="Strong"/>
          <w:color w:val="212121"/>
          <w:lang w:val="sr-RS"/>
        </w:rPr>
        <w:t xml:space="preserve"> (Сл. гласник РС бр. 52/2021)</w:t>
      </w:r>
      <w:r>
        <w:rPr>
          <w:color w:val="212121"/>
          <w:lang w:val="sr-RS"/>
        </w:rPr>
        <w:br/>
        <w:t>Препознаје обавезу државних органа и локалних самоуправа да креирају политике које подржавају усаглашавање приватног и професионалног живота, родитељске дужности и неговање породице.</w:t>
      </w:r>
    </w:p>
    <w:p>
      <w:pPr>
        <w:pStyle w:val="NormalWeb"/>
        <w:spacing w:before="280" w:after="280"/>
        <w:jc w:val="both"/>
        <w:rPr>
          <w:lang w:val="sr-RS"/>
        </w:rPr>
      </w:pPr>
      <w:r>
        <w:rPr>
          <w:rStyle w:val="Strong"/>
          <w:color w:val="212121"/>
          <w:lang w:val="sr-RS"/>
        </w:rPr>
        <w:t>2. Закон о финансијској подршци породици са децом („Сл. гласник РС „бр.</w:t>
      </w:r>
      <w:r>
        <w:rPr>
          <w:rStyle w:val="Strong"/>
          <w:color w:val="FF5722"/>
          <w:lang w:val="sr-RS"/>
        </w:rPr>
        <w:t xml:space="preserve"> </w:t>
      </w:r>
      <w:r>
        <w:rPr>
          <w:rStyle w:val="Strong"/>
          <w:color w:val="000000"/>
          <w:lang w:val="sr-RS"/>
        </w:rPr>
        <w:t>113/2017, 50/2018, 46/2021- oдлука УС, 51/2021- одлука УС, 53/2021- одлука УС, 66/2021, 130/2021, 43/2023- одлука УС, 11/2024- одлука УС и 79/2024)</w:t>
      </w:r>
      <w:r>
        <w:rPr>
          <w:color w:val="212121"/>
          <w:lang w:val="sr-RS"/>
        </w:rPr>
        <w:br/>
        <w:t>Дефинише права на додатке, накнаде и мере финансијске подршке које се спроводе на националном нивоу и које ЛАП допуњује локалним мерама.</w:t>
      </w:r>
    </w:p>
    <w:p>
      <w:pPr>
        <w:pStyle w:val="NormalWeb"/>
        <w:spacing w:before="280" w:after="280"/>
        <w:rPr>
          <w:lang w:val="sr-RS"/>
        </w:rPr>
      </w:pPr>
      <w:r>
        <w:rPr>
          <w:rStyle w:val="Strong"/>
          <w:color w:val="212121"/>
          <w:lang w:val="sr-RS"/>
        </w:rPr>
        <w:t>3. Стратегија подстицања рађања Републике Србије (2018–2027)</w:t>
      </w:r>
      <w:r>
        <w:rPr>
          <w:color w:val="212121"/>
          <w:lang w:val="sr-RS"/>
        </w:rPr>
        <w:br/>
        <w:t>Представља основни стратешки документ државе, који поставља циљеве повећања стопе наталитета, јачања подршке породици и унапређења услова за рађање и родитељство. ЛАП Беочин усклађен је са приоритетима ове стратегије.</w:t>
      </w:r>
    </w:p>
    <w:p>
      <w:pPr>
        <w:pStyle w:val="NormalWeb"/>
        <w:spacing w:before="280" w:after="280"/>
        <w:rPr>
          <w:lang w:val="sr-RS"/>
        </w:rPr>
      </w:pPr>
      <w:r>
        <w:rPr>
          <w:rStyle w:val="Strong"/>
          <w:color w:val="212121"/>
          <w:lang w:val="sr-RS"/>
        </w:rPr>
        <w:t>4. Национална стратегија за младе (2023–2030)</w:t>
      </w:r>
      <w:r>
        <w:rPr>
          <w:color w:val="212121"/>
          <w:lang w:val="sr-RS"/>
        </w:rPr>
        <w:br/>
        <w:t>Наглашава потребу стварања услова који ће омогућити младима да остану у својим заједницама и оснивају породице, што директно доприноси циљевима ЛАП-а.</w:t>
      </w:r>
    </w:p>
    <w:p>
      <w:pPr>
        <w:pStyle w:val="NormalWeb"/>
        <w:spacing w:before="280" w:after="280"/>
        <w:rPr>
          <w:lang w:val="sr-RS"/>
        </w:rPr>
      </w:pPr>
      <w:r>
        <w:rPr>
          <w:rStyle w:val="Strong"/>
          <w:color w:val="212121"/>
          <w:lang w:val="sr-RS"/>
        </w:rPr>
        <w:t>5. Покрајински програм демографског развоја АП Војводине</w:t>
      </w:r>
      <w:r>
        <w:rPr>
          <w:color w:val="212121"/>
          <w:lang w:val="sr-RS"/>
        </w:rPr>
        <w:br/>
        <w:t>Утврђује мере и програме које реализује Покрајинска влада и који су доступни локалним самоуправама кроз програме финансијске подршке.</w:t>
      </w:r>
    </w:p>
    <w:p>
      <w:pPr>
        <w:pStyle w:val="NormalWeb"/>
        <w:spacing w:before="280" w:after="280"/>
        <w:jc w:val="both"/>
        <w:rPr>
          <w:lang w:val="sr-RS"/>
        </w:rPr>
      </w:pPr>
      <w:r>
        <w:rPr>
          <w:rStyle w:val="Strong"/>
          <w:color w:val="000000"/>
          <w:lang w:val="sr-RS"/>
        </w:rPr>
        <w:t xml:space="preserve">6.Закон о локалној самоуправи ( „ Сл.гласник РС“ број 129/20007, 83/2014- др.закон, 101/2016- др.закон, 47/2018 и 111/2021-др.закон) </w:t>
      </w:r>
      <w:r>
        <w:rPr>
          <w:color w:val="212121"/>
          <w:lang w:val="sr-RS"/>
        </w:rPr>
        <w:br/>
        <w:t>Одређује обавезе и надлежности општине у области социјалне политике, бриге о деци, локалног економског развоја и стратешког планирања.</w:t>
      </w:r>
    </w:p>
    <w:p>
      <w:pPr>
        <w:pStyle w:val="NormalWeb"/>
        <w:spacing w:before="280" w:after="280"/>
        <w:rPr>
          <w:lang w:val="sr-RS"/>
        </w:rPr>
      </w:pPr>
      <w:r>
        <w:rPr>
          <w:rStyle w:val="Strong"/>
          <w:color w:val="000000"/>
          <w:lang w:val="sr-RS"/>
        </w:rPr>
        <w:t>7. Статут општине Беочин ( „Сл.лист општине Беочин“ бр. 3/2019 и 12/2025) и План развоја општине Беочин ( „Службени лист општине Беочин“ број 13/2013) за период од 2023. до 2030.године</w:t>
      </w:r>
      <w:r>
        <w:rPr>
          <w:color w:val="212121"/>
          <w:lang w:val="sr-RS"/>
        </w:rPr>
        <w:br/>
        <w:t>Обезбеђују нормативни оквир за креирање и спровођење јавних политика на локалном нивоу, укључујући и развојне документе у области социјалне заштите, образовања, здравства и родне равноправности.</w:t>
      </w:r>
    </w:p>
    <w:p>
      <w:pPr>
        <w:pStyle w:val="Heading1"/>
        <w:numPr>
          <w:ilvl w:val="0"/>
          <w:numId w:val="1"/>
        </w:numPr>
        <w:rPr>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СВРХА И ЗНАЧАЈ ЛАП-А</w:t>
      </w:r>
    </w:p>
    <w:p>
      <w:pPr>
        <w:pStyle w:val="NormalWeb"/>
        <w:spacing w:before="280" w:after="280"/>
        <w:jc w:val="both"/>
        <w:rPr>
          <w:lang w:val="sr-RS"/>
        </w:rPr>
      </w:pPr>
      <w:r>
        <w:rPr>
          <w:color w:themeColor="text1" w:val="000000"/>
          <w:lang w:val="sr-RS"/>
        </w:rPr>
        <w:t xml:space="preserve">Сврха Локалног акционог плана за популациону политику општине Беочин је да обезбеди јединствен, свеобухватан и дугорочно одржив оквир деловања који ће усмерити локалну заједницу ка стабилнијем демографском развоју. ЛАП представља стратешки механизам који омогућава да се проблеми и изазови у области наталитета, миграција, услуга за децу и породице, као и положаја младих, сагледају кроз интегрисану перспективу. </w:t>
      </w:r>
      <w:r>
        <w:rPr>
          <w:lang w:val="sr-RS"/>
        </w:rPr>
        <w:t>Израда Локалног акционог плана финансирана је средствима Покрајинског секретаријата за социјалну политику, демографију и равноправност полова, што представља значајан вид институционалне подршке развоју популационе политике у општини Беочин.</w:t>
      </w:r>
    </w:p>
    <w:p>
      <w:pPr>
        <w:pStyle w:val="NormalWeb"/>
        <w:spacing w:before="280" w:after="280"/>
        <w:jc w:val="both"/>
        <w:rPr>
          <w:lang w:val="sr-RS"/>
        </w:rPr>
      </w:pPr>
      <w:r>
        <w:rPr>
          <w:color w:themeColor="text1" w:val="000000"/>
          <w:lang w:val="sr-RS"/>
        </w:rPr>
        <w:t>Овај документ има задатак да прецизно дефинише приоритете, да утврди јасне циљеве и да усмери ресурсе општине ка мерама које имају највећи потенцијал да унапреде квалитет живота становника. Кроз ЛАП се обезбеђује континуитет у спровођењу политика, али и могућност да се оне прилагођавају у складу са променљивим демографским трендовима, стањем на тржишту рада и потребама породица.</w:t>
      </w:r>
    </w:p>
    <w:p>
      <w:pPr>
        <w:pStyle w:val="NormalWeb"/>
        <w:spacing w:before="280" w:after="280"/>
        <w:jc w:val="both"/>
        <w:rPr>
          <w:lang w:val="sr-RS"/>
        </w:rPr>
      </w:pPr>
      <w:r>
        <w:rPr>
          <w:color w:themeColor="text1" w:val="000000"/>
          <w:lang w:val="sr-RS"/>
        </w:rPr>
        <w:t>Значај ЛАП-а огледа се и у чињеници да он јача институционалну одговорност и подиже ниво организације унутар локалне самоуправе. Документ омогућава бољу координацију између јавних установа, школа, предшколске установе, Центра за социјални рад, здравствених служби, месних заједница и других актера. На тај начин, ЛАП није само административни документ, већ оквир који повезује различите секторе у заједничко деловање ка подршци породицама.</w:t>
      </w:r>
    </w:p>
    <w:p>
      <w:pPr>
        <w:pStyle w:val="NormalWeb"/>
        <w:spacing w:before="280" w:after="280"/>
        <w:jc w:val="both"/>
        <w:rPr>
          <w:lang w:val="sr-RS"/>
        </w:rPr>
      </w:pPr>
      <w:r>
        <w:rPr>
          <w:color w:themeColor="text1" w:val="000000"/>
          <w:lang w:val="sr-RS"/>
        </w:rPr>
        <w:t xml:space="preserve">Поред тога, ЛАП има важну улогу у </w:t>
      </w:r>
      <w:r>
        <w:rPr>
          <w:color w:val="000000"/>
          <w:lang w:val="sr-RS"/>
        </w:rPr>
        <w:t xml:space="preserve">рационалном и ефикасном планирању буџета. </w:t>
      </w:r>
      <w:r>
        <w:rPr>
          <w:color w:val="424242"/>
          <w:lang w:val="sr-RS"/>
        </w:rPr>
        <w:t xml:space="preserve">Он </w:t>
      </w:r>
      <w:r>
        <w:rPr>
          <w:color w:val="000000"/>
          <w:lang w:val="sr-RS"/>
        </w:rPr>
        <w:t>омогућава да се средства усмеравају ка мерама које су засноване на подацима и доказима, чиме се повећава транспарентност и одговорност у трошењу јавних ресурса. Истовремено, ЛАП представља основу за конкурисање општине за додатна средства и подршку на покрајинском и националном нивоу, што даје могућност да се мере популационе политике финансијски ојачају и прошире.</w:t>
      </w:r>
    </w:p>
    <w:p>
      <w:pPr>
        <w:pStyle w:val="NormalWeb"/>
        <w:spacing w:before="280" w:after="280"/>
        <w:jc w:val="both"/>
        <w:rPr>
          <w:lang w:val="sr-RS"/>
        </w:rPr>
      </w:pPr>
      <w:r>
        <w:rPr>
          <w:color w:themeColor="text1" w:val="000000"/>
          <w:lang w:val="sr-RS"/>
        </w:rPr>
        <w:t>На друштвеном плану, значај ЛАП-а огледа се у његовој способности да гради позитивну друштвену климу у којој се родитељство вреднује, млади остају у својој заједници, а деца одрастају у стимулативном и безбедном окружењу. Он шаље поруку да општина системски брине о породицама и да ствара услове у којима сваки становник може да планира будућност са више сигурности и подршке.</w:t>
      </w:r>
    </w:p>
    <w:p>
      <w:pPr>
        <w:pStyle w:val="NormalWeb"/>
        <w:spacing w:before="280" w:after="280"/>
        <w:jc w:val="both"/>
        <w:rPr>
          <w:lang w:val="sr-RS"/>
        </w:rPr>
      </w:pPr>
      <w:r>
        <w:rPr>
          <w:color w:themeColor="text1" w:val="000000"/>
          <w:lang w:val="sr-RS"/>
        </w:rPr>
        <w:t>ЛАП је, у суштини, механизам који омогућава да општина Беочин изгради модел локалне заједнице која је усмерена на развој, обнављање и задржавање становништва, уз поштовање начела инклузивности, равноправности и једнаког приступа услугама. Његов значај је стога и стратешки и практични: он поставља визију и истовремено обезбеђује конкретне кораке ка њеном остварењу.</w:t>
      </w:r>
    </w:p>
    <w:p>
      <w:pPr>
        <w:pStyle w:val="ListParagraph"/>
        <w:numPr>
          <w:ilvl w:val="0"/>
          <w:numId w:val="1"/>
        </w:numPr>
        <w:rPr>
          <w:b/>
          <w:bCs/>
          <w:color w:themeColor="text1" w:val="000000"/>
          <w:lang w:val="sr-RS"/>
        </w:rPr>
      </w:pPr>
      <w:r>
        <w:rPr>
          <w:b/>
          <w:bCs/>
          <w:color w:themeColor="text1" w:val="000000"/>
          <w:lang w:val="sr-RS"/>
        </w:rPr>
        <w:t>МЕТОДОЛОШКИ ПРИСТУП</w:t>
      </w:r>
    </w:p>
    <w:p>
      <w:pPr>
        <w:pStyle w:val="NormalWeb"/>
        <w:spacing w:before="280" w:after="280"/>
        <w:jc w:val="both"/>
        <w:rPr>
          <w:lang w:val="sr-RS"/>
        </w:rPr>
      </w:pPr>
      <w:r>
        <w:rPr>
          <w:color w:themeColor="text1" w:val="000000"/>
          <w:lang w:val="sr-RS"/>
        </w:rPr>
        <w:t>Методологија израде Локалног акционог плана заснива се на стандардима савременог стратешког планирања, уз поштовање принципа транспарентности, инклузивности и заснованости на поузданим подацима. Процес је био осмишљен тако да обухвати све релевантне аспекте демографског развоја општине Беочин, као и да обезбеди активно учешће институција и грађана чији су ставови и искуства од суштинског значаја за формулисање реалних и применљивих мера.</w:t>
      </w:r>
    </w:p>
    <w:p>
      <w:pPr>
        <w:pStyle w:val="NormalWeb"/>
        <w:spacing w:before="280" w:after="280"/>
        <w:jc w:val="both"/>
        <w:rPr>
          <w:lang w:val="sr-RS"/>
        </w:rPr>
      </w:pPr>
      <w:r>
        <w:rPr>
          <w:color w:themeColor="text1" w:val="000000"/>
          <w:lang w:val="sr-RS"/>
        </w:rPr>
        <w:t>Прва фаза методолошког процеса обухватила је систематично прикупљање и анализу доступних статистичких и административних података. У фокус су стављени резултати последњег пописа становништва, годишње статистике Републичког завода за статистику, подаци из образовних, социјалних и здравствених установа на локалном нивоу, као и интерни општински извештаји који се односе на буџетске програме и реализоване мере подршке породицама. Ова анализа омогућила је да се сагледају демографски трендови, идентификују критична подручја и утврде развојни потенцијали општине.</w:t>
      </w:r>
    </w:p>
    <w:p>
      <w:pPr>
        <w:pStyle w:val="NormalWeb"/>
        <w:spacing w:before="280" w:after="280"/>
        <w:jc w:val="both"/>
        <w:rPr>
          <w:lang w:val="sr-RS"/>
        </w:rPr>
      </w:pPr>
      <w:r>
        <w:rPr>
          <w:color w:themeColor="text1" w:val="000000"/>
          <w:lang w:val="sr-RS"/>
        </w:rPr>
        <w:t xml:space="preserve">У другој фази, посебна пажња посвећена је консултативном процесу са релевантним актерима. Организовани су радни састанци и индивидуалне консултације са представницима предшколске установе, основних школа, Центра за социјални рад, здравствених служби, </w:t>
      </w:r>
      <w:r>
        <w:rPr>
          <w:color w:val="000000"/>
          <w:lang w:val="sr-RS"/>
        </w:rPr>
        <w:t>Туристичке организације општине Беочин</w:t>
      </w:r>
      <w:r>
        <w:rPr>
          <w:color w:themeColor="text1" w:val="000000"/>
          <w:lang w:val="sr-RS"/>
        </w:rPr>
        <w:t>, локалних удружења. Овај процес је омогућио да се поред статистичких података узму у обзир и квалитативни увиди који чак и боље осликавају свакодневне изазове становништва, нарочито младих породица и деце у руралним деловима општине.</w:t>
      </w:r>
    </w:p>
    <w:p>
      <w:pPr>
        <w:pStyle w:val="NormalWeb"/>
        <w:spacing w:before="280" w:after="280"/>
        <w:jc w:val="both"/>
        <w:rPr>
          <w:lang w:val="sr-RS"/>
        </w:rPr>
      </w:pPr>
      <w:r>
        <w:rPr>
          <w:color w:themeColor="text1" w:val="000000"/>
          <w:lang w:val="sr-RS"/>
        </w:rPr>
        <w:t>Трећа фаза методологије обухватила је дефинисање приоритетних области, циљева и конкретних мера ЛАП-а, уз пажљиво разматрање реализационих капацитета општине и постојећег оквира надлежности. Приликом формулисања мера водило се рачуна о томе да оне буду економски одрживе, мерљиве и усклађене са стратешким документима Републике Србије, Аутономне Покрајине Војводине и општине Беочин. Такође се водило рачуна да предложене активности одговоре на потребе различитих група становништва — од младих родитеља и деце, до ученика, младих, жена, старијих особа и породица које живе у руралним насељима.</w:t>
      </w:r>
    </w:p>
    <w:p>
      <w:pPr>
        <w:pStyle w:val="NormalWeb"/>
        <w:spacing w:before="280" w:after="280"/>
        <w:jc w:val="both"/>
        <w:rPr>
          <w:lang w:val="sr-RS"/>
        </w:rPr>
      </w:pPr>
      <w:r>
        <w:rPr>
          <w:color w:themeColor="text1" w:val="000000"/>
          <w:lang w:val="sr-RS"/>
        </w:rPr>
        <w:t xml:space="preserve">   </w:t>
      </w:r>
      <w:r>
        <w:rPr>
          <w:color w:themeColor="text1" w:val="000000"/>
          <w:lang w:val="sr-RS"/>
        </w:rPr>
        <w:t>У завршној, четвртој фази, нацрт документа је усклађиван са надлежним општинским службама, уз додатну техничку и садржајну проверу. Ова фаза укључивала је финализовање текста, утврђивање индикатора успеха, провера усаглашености са законским и подзаконским актима и припрему документа за усвајање у органима локалне самоуправе. Пажња је посвећена и успостављању јасног механизма праћења, извештавања и евалуације, како би се обезбедило да мере буду спроводиве, да се њихови ефекти могу мерити, и да се ЛАП може ревидирати у складу са демографским кретањима и потребама становништва.</w:t>
      </w:r>
    </w:p>
    <w:p>
      <w:pPr>
        <w:pStyle w:val="NormalWeb"/>
        <w:spacing w:before="280" w:after="280"/>
        <w:jc w:val="both"/>
        <w:rPr>
          <w:lang w:val="sr-RS"/>
        </w:rPr>
      </w:pPr>
      <w:r>
        <w:rPr>
          <w:color w:themeColor="text1" w:val="000000"/>
          <w:lang w:val="sr-RS"/>
        </w:rPr>
        <w:t xml:space="preserve">    </w:t>
      </w:r>
      <w:r>
        <w:rPr>
          <w:color w:themeColor="text1" w:val="000000"/>
          <w:lang w:val="sr-RS"/>
        </w:rPr>
        <w:t>Целокупан методолошки процес био је вођен принципом учешћа и одговорности, уз настојање да се обезбеди да овај документ буде и практично употребљив, са јасним смерницама и инструментима за реализацију мера које ће у наредном периоду допринети унапређењу популационе политике општине Беочин.</w:t>
      </w:r>
    </w:p>
    <w:p>
      <w:pPr>
        <w:pStyle w:val="NormalWeb"/>
        <w:spacing w:before="280" w:after="280"/>
        <w:jc w:val="both"/>
        <w:rPr>
          <w:lang w:val="sr-RS"/>
        </w:rPr>
      </w:pPr>
      <w:r>
        <w:rPr>
          <w:lang w:val="sr-RS"/>
        </w:rPr>
      </w:r>
    </w:p>
    <w:p>
      <w:pPr>
        <w:pStyle w:val="NormalWeb"/>
        <w:spacing w:before="280" w:after="280"/>
        <w:jc w:val="both"/>
        <w:rPr>
          <w:lang w:val="sr-RS"/>
        </w:rPr>
      </w:pPr>
      <w:r>
        <w:rPr>
          <w:lang w:val="sr-RS"/>
        </w:rPr>
      </w:r>
    </w:p>
    <w:p>
      <w:pPr>
        <w:pStyle w:val="NormalWeb"/>
        <w:spacing w:before="280" w:after="280"/>
        <w:jc w:val="both"/>
        <w:rPr>
          <w:lang w:val="sr-RS"/>
        </w:rPr>
      </w:pPr>
      <w:r>
        <w:rPr>
          <w:lang w:val="sr-RS"/>
        </w:rPr>
      </w:r>
    </w:p>
    <w:p>
      <w:pPr>
        <w:pStyle w:val="ListParagraph"/>
        <w:numPr>
          <w:ilvl w:val="0"/>
          <w:numId w:val="1"/>
        </w:numPr>
        <w:rPr>
          <w:b/>
          <w:bCs/>
          <w:color w:themeColor="text1" w:val="000000"/>
          <w:lang w:val="sr-RS"/>
        </w:rPr>
      </w:pPr>
      <w:r>
        <w:rPr>
          <w:b/>
          <w:bCs/>
          <w:color w:themeColor="text1" w:val="000000"/>
          <w:lang w:val="sr-RS"/>
        </w:rPr>
        <w:t>ГЕОГРАФСКИ ПОЛОЖАЈ ОПШТИНЕ БЕОЧИН</w:t>
      </w:r>
    </w:p>
    <w:p>
      <w:pPr>
        <w:pStyle w:val="ListParagraph"/>
        <w:ind w:hanging="0" w:left="720"/>
        <w:rPr/>
      </w:pPr>
      <w:r>
        <w:rPr/>
      </w:r>
    </w:p>
    <w:p>
      <w:pPr>
        <w:pStyle w:val="NormalWeb"/>
        <w:spacing w:before="280" w:after="280"/>
        <w:jc w:val="both"/>
        <w:rPr>
          <w:color w:themeColor="text1" w:val="000000"/>
          <w:lang w:val="sr-RS"/>
        </w:rPr>
      </w:pPr>
      <w:r>
        <w:rPr>
          <w:color w:themeColor="text1" w:val="000000"/>
          <w:lang w:val="sr-RS"/>
        </w:rPr>
        <w:t>Општина Беочин налази се у југозападном делу Аутономне Покрајине Војводине и припада Јужно-бачком округу. Позиционирана је на десној обали Дунава, у непосредној близини Новог Сада, што јој даје стратешки значај у погледу саобраћајне повезаности, развојних перспектива и кретања становништва. Овај простор представља контактну зону урбаних, приградских и руралних целина, што је чини специфичном у односу на друге локалне самоуправе у региону.</w:t>
      </w:r>
    </w:p>
    <w:p>
      <w:pPr>
        <w:pStyle w:val="NormalWeb"/>
        <w:spacing w:before="280" w:after="280"/>
        <w:jc w:val="both"/>
        <w:rPr>
          <w:lang w:val="sr-RS"/>
        </w:rPr>
      </w:pPr>
      <w:r>
        <w:rPr>
          <w:color w:themeColor="text1" w:val="000000"/>
          <w:lang w:val="sr-RS"/>
        </w:rPr>
        <w:t xml:space="preserve">Општина обухвата површину од око </w:t>
      </w:r>
      <w:r>
        <w:rPr>
          <w:color w:val="000000"/>
          <w:lang w:val="sr-RS"/>
        </w:rPr>
        <w:t>186 km²</w:t>
      </w:r>
      <w:r>
        <w:rPr>
          <w:color w:themeColor="text1" w:val="000000"/>
          <w:lang w:val="sr-RS"/>
        </w:rPr>
        <w:t xml:space="preserve"> и састоји се од више насељених места, од којих су централна урбана целина Беочин и неколико руралних насеља која се одликују различитим степеном развијености, инфраструктурне опремљености и демографских тенденција: Баноштор, Грабово, Луг, Раковац, Свилош, Сусек и Черевић. Рурални делови општине карактерише распрострањена пољопривреда, богата природна средина и изражени потенцијали за развој сеоског туризма, док урбани део Беочина има снажније индустријске, услужне и образовне капацитете.</w:t>
      </w:r>
    </w:p>
    <w:p>
      <w:pPr>
        <w:pStyle w:val="NormalWeb"/>
        <w:spacing w:before="280" w:after="280"/>
        <w:jc w:val="both"/>
        <w:rPr>
          <w:lang w:val="sr-RS"/>
        </w:rPr>
      </w:pPr>
      <w:r>
        <w:rPr>
          <w:color w:themeColor="text1" w:val="000000"/>
          <w:lang w:val="sr-RS"/>
        </w:rPr>
        <w:t>Близина Новог Сада представља један од најзначајнијих географских и развојних фактора. Саобраћајне везе — путне и аутобуске линије — омогућавају брзу и лаку доступност регионалног центра, што становницима пружа могућност приступа ширем спектру услуга, образовних установа и тржишту рада. Истовремено, ова близина ствара и одређене демографске изазове: миграције младих ка већем урбаном центру, формирање приградских насеља и постепени „одлив потенцијала“ који утиче на структуру и динамику становништва у самом Беочину.</w:t>
      </w:r>
    </w:p>
    <w:p>
      <w:pPr>
        <w:pStyle w:val="NormalWeb"/>
        <w:spacing w:before="280" w:after="280"/>
        <w:jc w:val="both"/>
        <w:rPr>
          <w:lang w:val="sr-RS"/>
        </w:rPr>
      </w:pPr>
      <w:r>
        <w:rPr>
          <w:color w:themeColor="text1" w:val="000000"/>
          <w:lang w:val="sr-RS"/>
        </w:rPr>
        <w:t xml:space="preserve">Природне карактеристике овог подручја такође имају значајан утицај на демографску и развојну слику општине. Део територије општине налази се на простору Фрушке горе, </w:t>
      </w:r>
      <w:r>
        <w:rPr>
          <w:color w:val="000000"/>
          <w:lang w:val="sr-RS"/>
        </w:rPr>
        <w:t xml:space="preserve">Националног парка </w:t>
      </w:r>
      <w:r>
        <w:rPr>
          <w:color w:themeColor="text1" w:val="000000"/>
          <w:lang w:val="sr-RS"/>
        </w:rPr>
        <w:t>и једног од најзначајнијих природних ресурса у Војводини. Ово подручје доприноси атрактивности општине за живот младих породица, за развој рекреативних и туристичких садржаја, као и за очување животне средине. Истовремено, Фрушка гора представља еколошки осетљив простор који захтева додатну пажњу у планирању развоја.</w:t>
      </w:r>
    </w:p>
    <w:p>
      <w:pPr>
        <w:pStyle w:val="NormalWeb"/>
        <w:spacing w:before="280" w:after="280"/>
        <w:jc w:val="both"/>
        <w:rPr>
          <w:lang w:val="sr-RS"/>
        </w:rPr>
      </w:pPr>
      <w:r>
        <w:rPr>
          <w:color w:themeColor="text1" w:val="000000"/>
          <w:lang w:val="sr-RS"/>
        </w:rPr>
        <w:t>Географски положај Беочина — на раскрсници између индустријски развијене зоне уз Дунав и природних ресурса Фрушке горе — ствара специфичан спој који обликује локалне економске, социјалне и демографске токове. Ова позиција представља и потенцијал и изазов: са једне стране омогућава развој и досељавање, а са друге захтева системско планирање како би се обезбедила равномерна доступност услуга, инфраструктуре и подршке становништву у свим деловима општине.</w:t>
      </w:r>
    </w:p>
    <w:p>
      <w:pPr>
        <w:pStyle w:val="Normal"/>
        <w:jc w:val="center"/>
        <w:rPr>
          <w:color w:themeColor="text1" w:val="000000"/>
          <w:lang w:val="sr-RS"/>
        </w:rPr>
      </w:pPr>
      <w:r>
        <w:rPr/>
        <w:drawing>
          <wp:inline distT="0" distB="0" distL="0" distR="0">
            <wp:extent cx="2842895" cy="1455420"/>
            <wp:effectExtent l="0" t="0" r="0" b="0"/>
            <wp:docPr id="3"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descr=""/>
                    <pic:cNvPicPr>
                      <a:picLocks noChangeAspect="1" noChangeArrowheads="1"/>
                    </pic:cNvPicPr>
                  </pic:nvPicPr>
                  <pic:blipFill>
                    <a:blip r:embed="rId4"/>
                    <a:stretch>
                      <a:fillRect/>
                    </a:stretch>
                  </pic:blipFill>
                  <pic:spPr bwMode="auto">
                    <a:xfrm>
                      <a:off x="0" y="0"/>
                      <a:ext cx="2842895" cy="1455420"/>
                    </a:xfrm>
                    <a:prstGeom prst="rect">
                      <a:avLst/>
                    </a:prstGeom>
                  </pic:spPr>
                </pic:pic>
              </a:graphicData>
            </a:graphic>
          </wp:inline>
        </w:drawing>
      </w:r>
    </w:p>
    <w:p>
      <w:pPr>
        <w:pStyle w:val="Heading1"/>
        <w:numPr>
          <w:ilvl w:val="0"/>
          <w:numId w:val="1"/>
        </w:numPr>
        <w:rPr>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СОЦИО-ЕКОНОМСКЕ КАРАКТЕРИСТИКЕ ОПШТИНЕ БЕОЧИН</w:t>
      </w:r>
    </w:p>
    <w:p>
      <w:pPr>
        <w:pStyle w:val="NormalWeb"/>
        <w:spacing w:before="280" w:after="280"/>
        <w:jc w:val="both"/>
        <w:rPr>
          <w:lang w:val="sr-RS"/>
        </w:rPr>
      </w:pPr>
      <w:r>
        <w:rPr>
          <w:color w:themeColor="text1" w:val="000000"/>
          <w:lang w:val="sr-RS"/>
        </w:rPr>
        <w:t>Социо-економски профил општине Беочин одликује се комбинацијом урбаних, приградских и руралних елемената, што ствара специфичну структуру развојних могућности и изазова. Лоцирана у непосредној близини Новог Сада, општина остварује снажне функционалне везе са регионалним центром, што има значајан утицај на кретање становништва, структуру запослености, миграционе токове и развој локалне економије.</w:t>
      </w:r>
    </w:p>
    <w:p>
      <w:pPr>
        <w:pStyle w:val="NormalWeb"/>
        <w:spacing w:before="280" w:after="280"/>
        <w:jc w:val="both"/>
        <w:rPr>
          <w:lang w:val="sr-RS"/>
        </w:rPr>
      </w:pPr>
      <w:r>
        <w:rPr>
          <w:color w:themeColor="text1" w:val="000000"/>
          <w:lang w:val="sr-RS"/>
        </w:rPr>
        <w:t xml:space="preserve">Економски развој Беочина у великој мери је обликован радом већих индустријских система и услужног сектора. Према документу </w:t>
      </w:r>
      <w:r>
        <w:rPr>
          <w:rStyle w:val="Emphasis"/>
          <w:i w:val="false"/>
          <w:iCs w:val="false"/>
          <w:color w:val="000000"/>
          <w:lang w:val="sr-RS"/>
        </w:rPr>
        <w:t>План развоја општине Беочин („Службени лист општине Беочин“ бр. 13/2023) за период 2023–2030</w:t>
      </w:r>
      <w:r>
        <w:rPr>
          <w:color w:val="000000"/>
          <w:lang w:val="sr-RS"/>
        </w:rPr>
        <w:t xml:space="preserve">, </w:t>
      </w:r>
      <w:r>
        <w:rPr>
          <w:color w:themeColor="text1" w:val="000000"/>
          <w:lang w:val="sr-RS"/>
        </w:rPr>
        <w:t>регистрована запосленост на територији општине у 2021. години износила је 33%, што је приближно нивоу упоредивих општина. Већина запослених — чак 76,9% — ради у правним лицима, што указује на доминацију формалног сектора и постојање стабилних послодаваца у области индустрије, производње, услуга и јавних установа.</w:t>
      </w:r>
    </w:p>
    <w:p>
      <w:pPr>
        <w:pStyle w:val="NormalWeb"/>
        <w:spacing w:before="280" w:after="280"/>
        <w:jc w:val="both"/>
        <w:rPr>
          <w:lang w:val="sr-RS"/>
        </w:rPr>
      </w:pPr>
      <w:r>
        <w:rPr>
          <w:color w:themeColor="text1" w:val="000000"/>
          <w:lang w:val="sr-RS"/>
        </w:rPr>
        <w:t>Пољопривреда, иако традиционално важан сегмент економије у Војводини, на територији општине заузима релативно мањи простор због специфичне структуре земљишта. Како показују подаци из развојног плана, само 28,78% површине општине представља пољопривредно земљиште, док се чак половина територије налази под шумом и у оквиру Националног парка Фрушка гора. Ова чињеница одређује врсту и обим пољопривредних активности, али истовремено пружа значајне потенцијале за развој воћарства, виноградарства и сеоског туризма. У структури пољопривреде посебно се истиче веће учешће воћњака и винограда, што подручју даје карактеристике изразитог виноградарско-воћарског рејона, посебно у насељима Баноштор и Черевић, која су препозната по традицији производње квалитетних сорти грожђа и вина.</w:t>
      </w:r>
    </w:p>
    <w:p>
      <w:pPr>
        <w:pStyle w:val="NormalWeb"/>
        <w:spacing w:before="280" w:after="280"/>
        <w:jc w:val="both"/>
        <w:rPr>
          <w:lang w:val="sr-RS"/>
        </w:rPr>
      </w:pPr>
      <w:r>
        <w:rPr>
          <w:color w:themeColor="text1" w:val="000000"/>
          <w:lang w:val="sr-RS"/>
        </w:rPr>
        <w:t>Истовремено, развој пољопривреде ограничава распростирање шумских површина (51,1%) и статус заштићеног подручја Националног парка Фрушка гора, што утиче на доступност обрадивог земљишта и тип производње. Упркос ограничењима, постоје значајни потенцијали за даљи развој локалних пољопривредних газдинстава, органске производње и повезивање пољопривреде са туристичком понудом општине.</w:t>
      </w:r>
    </w:p>
    <w:p>
      <w:pPr>
        <w:pStyle w:val="NormalWeb"/>
        <w:spacing w:before="280" w:after="280"/>
        <w:jc w:val="both"/>
        <w:rPr>
          <w:color w:themeColor="text1" w:val="000000"/>
          <w:lang w:val="sr-RS"/>
        </w:rPr>
      </w:pPr>
      <w:r>
        <w:rPr>
          <w:color w:themeColor="text1" w:val="000000"/>
          <w:lang w:val="sr-RS"/>
        </w:rPr>
        <w:t xml:space="preserve">У оквиру јавних услуга, Беочин располаже развијеним институционалним капацитетима, нарочито у области културе и спорта. Културни центар општине Беочин представља један од кључних носилаца културног живота и образовних програма у заједници, са широком понудом манифестација, представа, концерата, изложби и едукативних садржаја. </w:t>
      </w:r>
      <w:r>
        <w:rPr>
          <w:color w:val="000000"/>
          <w:lang w:val="sr-RS"/>
        </w:rPr>
        <w:t>Поред тога, општина има добро опремљен Спортски центар у којем се налази спортска хала са одговарајућом опремом и одличном инфраструктуром за различите спортске активности</w:t>
      </w:r>
      <w:r>
        <w:rPr>
          <w:color w:themeColor="text1" w:val="000000"/>
          <w:lang w:val="sr-RS"/>
        </w:rPr>
        <w:t>, што доприноси квалитету живота и ангажману младих у локалној заједници.</w:t>
      </w:r>
    </w:p>
    <w:p>
      <w:pPr>
        <w:pStyle w:val="NormalWeb"/>
        <w:spacing w:before="280" w:after="280"/>
        <w:jc w:val="both"/>
        <w:rPr>
          <w:lang w:val="sr-RS"/>
        </w:rPr>
      </w:pPr>
      <w:r>
        <w:rPr>
          <w:color w:themeColor="text1" w:val="000000"/>
          <w:lang w:val="sr-RS"/>
        </w:rPr>
        <w:t>Социјално-економске карактеристике општине у значајној мери одређују и миграциони токови. Близина Новог Сада има двоструки ефекат: са једне стране становницима омогућава лаку доступност образовних и пословних прилика; са друге, представља један од најјачих фактора одлива младих, нарочито високообразованих, који се одлучују за живот у већем урбаном центру. Ови миграциони процеси одражавају се на демографску структуру, број активног становништва и дугорочну одрживост локалне економије.</w:t>
      </w:r>
    </w:p>
    <w:p>
      <w:pPr>
        <w:pStyle w:val="Heading2"/>
        <w:spacing w:before="280" w:after="280"/>
        <w:rPr>
          <w:color w:themeColor="text1" w:val="000000"/>
          <w:sz w:val="24"/>
          <w:szCs w:val="24"/>
          <w:lang w:val="sr-RS"/>
        </w:rPr>
      </w:pPr>
      <w:r>
        <w:rPr>
          <w:rStyle w:val="Strong"/>
          <w:b/>
          <w:bCs/>
          <w:color w:themeColor="text1" w:val="000000"/>
          <w:sz w:val="24"/>
          <w:szCs w:val="24"/>
          <w:lang w:val="sr-RS"/>
        </w:rPr>
        <w:t>6.1 Привредна структура</w:t>
      </w:r>
    </w:p>
    <w:p>
      <w:pPr>
        <w:pStyle w:val="NormalWeb"/>
        <w:spacing w:before="280" w:after="280"/>
        <w:jc w:val="both"/>
        <w:rPr>
          <w:lang w:val="sr-RS"/>
        </w:rPr>
      </w:pPr>
      <w:r>
        <w:rPr>
          <w:color w:themeColor="text1" w:val="000000"/>
          <w:lang w:val="sr-RS"/>
        </w:rPr>
        <w:t xml:space="preserve">Привреду општине Беочин карактерише структура у којој доминирају индустрија, производни сектор и услуге, уз значајно, мада ограничено, учешће пољопривреде. Највећи индустријски капацитети, као што је индустрија цемента, традиционално обликују економски развој општине и представљају једне од најважнијих локалних послодаваца. Са више од </w:t>
      </w:r>
      <w:r>
        <w:rPr>
          <w:color w:val="000000"/>
          <w:lang w:val="sr-RS"/>
        </w:rPr>
        <w:t>једног и по века</w:t>
      </w:r>
      <w:r>
        <w:rPr>
          <w:color w:val="FF6F00"/>
          <w:lang w:val="sr-RS"/>
        </w:rPr>
        <w:t xml:space="preserve"> </w:t>
      </w:r>
      <w:r>
        <w:rPr>
          <w:color w:themeColor="text1" w:val="000000"/>
          <w:lang w:val="sr-RS"/>
        </w:rPr>
        <w:t>континуираног рада, цементара представља не само најзначајнији индустријски капацитет, већ и привредни симбол Беочина, дубоко уткан у историјски развој и идентитет ове општине. Поред индустрије, у општини су присутни и сектори трговине, образовања, јавних служби и малих и средњих предузећа која делују у услужним делатностима.</w:t>
      </w:r>
    </w:p>
    <w:p>
      <w:pPr>
        <w:pStyle w:val="NormalWeb"/>
        <w:spacing w:before="280" w:after="280"/>
        <w:jc w:val="both"/>
        <w:rPr>
          <w:lang w:val="sr-RS"/>
        </w:rPr>
      </w:pPr>
      <w:r>
        <w:rPr>
          <w:color w:themeColor="text1" w:val="000000"/>
          <w:lang w:val="sr-RS"/>
        </w:rPr>
        <w:t xml:space="preserve">Простор Беочина специфичан је по ограниченој површини пољопривредног земљишта. Према развојном плану општине, за пољопривреду се користи само 28,78% укупне територије, јер се више од половине налази под шумама у оквиру Националног парка Фрушка гора. Ипак, пољопривреда има значајан квалитативни потенцијал — у структури земљишта истиче се висок проценат воћњака и винограда, што је препознатљиво у насељима Баноштор и Черевић, која имају дугу традицију винарства и карактеристике воћарско-виноградарског рејона. </w:t>
      </w:r>
    </w:p>
    <w:p>
      <w:pPr>
        <w:pStyle w:val="NormalWeb"/>
        <w:spacing w:before="280" w:after="280"/>
        <w:jc w:val="both"/>
        <w:rPr>
          <w:lang w:val="sr-RS"/>
        </w:rPr>
      </w:pPr>
      <w:r>
        <w:rPr>
          <w:color w:themeColor="text1" w:val="000000"/>
          <w:lang w:val="sr-RS"/>
        </w:rPr>
        <w:t>Поред примарних и секундарних делатности, у Беочину су развијене и јавне институције (културни центар, школе, спортски центар), које доприносе и економији и квалитету живота. У целини посматрано, привредну структуру општине чини стабилан индустријски систем, развијен услужни сектор, посебни пољопривредни потенцијали и растуће могућности за туризам и локално предузетништво.</w:t>
      </w:r>
    </w:p>
    <w:p>
      <w:pPr>
        <w:pStyle w:val="Heading2"/>
        <w:spacing w:before="280" w:after="280"/>
        <w:jc w:val="both"/>
        <w:rPr>
          <w:sz w:val="24"/>
          <w:szCs w:val="24"/>
          <w:lang w:val="sr-RS"/>
        </w:rPr>
      </w:pPr>
      <w:r>
        <w:rPr>
          <w:rStyle w:val="Strong"/>
          <w:b/>
          <w:bCs/>
          <w:color w:themeColor="text1" w:val="000000"/>
          <w:sz w:val="24"/>
          <w:szCs w:val="24"/>
          <w:lang w:val="sr-RS"/>
        </w:rPr>
        <w:t>6.2 Запосленост и тржиште рада</w:t>
      </w:r>
    </w:p>
    <w:p>
      <w:pPr>
        <w:pStyle w:val="NormalWeb"/>
        <w:spacing w:before="280" w:after="280"/>
        <w:jc w:val="both"/>
        <w:rPr>
          <w:lang w:val="sr-RS"/>
        </w:rPr>
      </w:pPr>
      <w:r>
        <w:rPr>
          <w:color w:themeColor="text1" w:val="000000"/>
          <w:lang w:val="sr-RS"/>
        </w:rPr>
        <w:t>Према подацима из 2021. године, стопа регистроване запослености у општини Беочин износи 33%, што је приближно нивоу упоредивих локалних самоуправа у Војводини. Велики део економске активности одвија се у формалном сектору: више од 76% запослених ради у организацијама и установама, односно у формалном сектору, што указује на релативно висок ниво институционалне стабилности у погледу запослења.</w:t>
      </w:r>
    </w:p>
    <w:p>
      <w:pPr>
        <w:pStyle w:val="NormalWeb"/>
        <w:spacing w:before="280" w:after="280"/>
        <w:rPr>
          <w:color w:themeColor="text1" w:val="000000"/>
          <w:lang w:val="sr-RS"/>
        </w:rPr>
      </w:pPr>
      <w:r>
        <w:rPr>
          <w:color w:themeColor="text1" w:val="000000"/>
          <w:lang w:val="sr-RS"/>
        </w:rPr>
        <w:t>Тржиште рада директно је повезано са близином Новог Сада, што утиче и позитивно и негативно. С једне стране, становници имају приступ ширем спектру радних места, што ублажава локалну незапосленост; с друге, значајан број радно активних лица запослен је ван општине, што доводи до дневних миграција и смањује економску активност на локалном нивоу.</w:t>
      </w:r>
    </w:p>
    <w:p>
      <w:pPr>
        <w:pStyle w:val="NormalWeb"/>
        <w:spacing w:before="280" w:after="280"/>
        <w:rPr>
          <w:color w:themeColor="text1" w:val="000000"/>
          <w:lang w:val="sr-RS"/>
        </w:rPr>
      </w:pPr>
      <w:r>
        <w:rPr>
          <w:color w:themeColor="text1" w:val="000000"/>
          <w:lang w:val="sr-RS"/>
        </w:rPr>
        <w:t>Присутан је и недостатак одређених профила радне снаге, посебно у техничким и занатским занимањима, што послодавци често истичу као ограничење. Истовремено, стабилно функционисање индустријског сектора и јавних служби обезбеђује основу за одржавање запослености, али постоји ризик од њеног смањења уколико се не унапреди локална економска диверзификација.</w:t>
      </w:r>
    </w:p>
    <w:p>
      <w:pPr>
        <w:pStyle w:val="NormalWeb"/>
        <w:spacing w:before="280" w:after="280"/>
        <w:rPr>
          <w:color w:themeColor="text1" w:val="000000"/>
          <w:lang w:val="sr-RS"/>
        </w:rPr>
      </w:pPr>
      <w:r>
        <w:rPr>
          <w:color w:themeColor="text1" w:val="000000"/>
          <w:lang w:val="sr-RS"/>
        </w:rPr>
        <w:t xml:space="preserve">У целини посматрано, тржиште рада у општини Беочин карактерише стабилна основа заснована на индустрији и јавним службама, али и изражени структурни изазови. Близина Новог Сада омогућава приступ широком спектру запослења, али истовремено подстиче одлив радне снаге и дневне миграције. </w:t>
      </w:r>
    </w:p>
    <w:p>
      <w:pPr>
        <w:pStyle w:val="Heading2"/>
        <w:spacing w:before="280" w:after="280"/>
        <w:rPr>
          <w:color w:themeColor="text1" w:val="000000"/>
          <w:sz w:val="24"/>
          <w:szCs w:val="24"/>
          <w:lang w:val="sr-RS"/>
        </w:rPr>
      </w:pPr>
      <w:r>
        <w:rPr>
          <w:rStyle w:val="Strong"/>
          <w:b/>
          <w:bCs/>
          <w:color w:themeColor="text1" w:val="000000"/>
          <w:sz w:val="24"/>
          <w:szCs w:val="24"/>
          <w:lang w:val="sr-RS"/>
        </w:rPr>
        <w:t>6.3 Образовна структура</w:t>
      </w:r>
    </w:p>
    <w:p>
      <w:pPr>
        <w:pStyle w:val="NormalWeb"/>
        <w:spacing w:before="280" w:after="280"/>
        <w:jc w:val="both"/>
        <w:rPr>
          <w:lang w:val="sr-RS"/>
        </w:rPr>
      </w:pPr>
      <w:r>
        <w:rPr>
          <w:color w:themeColor="text1" w:val="000000"/>
          <w:lang w:val="sr-RS"/>
        </w:rPr>
        <w:t>Образовна структура становништва општине Беочин у великој мери прати обрасце типичне за мање локалне самоуправе које се налазе у непосредној близини великих регионалних центара. Највећи проценат становништва има средњошколско образовање, што је уједно и доминантни образовни ниво радно активне популације. Удео лица са вишим и високим образовањем је приметно нижи од републичког просека, што је директан резултат миграционих токова — млади одлазе у Нови Сад ради студија, а затим често и трајно остају у урбаној средини, где су им доступни разноврснији образовни и професионални путеви.</w:t>
      </w:r>
    </w:p>
    <w:p>
      <w:pPr>
        <w:pStyle w:val="NormalWeb"/>
        <w:spacing w:before="280" w:after="280"/>
        <w:jc w:val="both"/>
        <w:rPr>
          <w:lang w:val="sr-RS"/>
        </w:rPr>
      </w:pPr>
      <w:r>
        <w:rPr>
          <w:color w:themeColor="text1" w:val="000000"/>
          <w:lang w:val="sr-RS"/>
        </w:rPr>
        <w:t>На територији општине функционише предшколска установа са више васпитних група, као и основне школе са истуреним одељењима која покривају и мања рурална насеља. Школе играју значајну улогу у локалној заједници, не само као образовне институције, већ и као простори друштвеног окупљања и активности младих. Међутим, средњошколци углавном путују у Нови Сад, Сремску Митровицу, Ириг, Футог, што је с једне стране предност — јер омогућава приступ широком избору циљано профилисаних и савремено организованих образовних програма — али истовремено слаби везу младих са Беочином. Ово путовање и свакодневно ослањање на образовне институције ван општине представља један од фактора ризика за трајни одлазак младих након завршетка школовања.</w:t>
      </w:r>
    </w:p>
    <w:p>
      <w:pPr>
        <w:pStyle w:val="NormalWeb"/>
        <w:spacing w:before="280" w:after="280"/>
        <w:jc w:val="both"/>
        <w:rPr>
          <w:lang w:val="sr-RS"/>
        </w:rPr>
      </w:pPr>
      <w:r>
        <w:rPr>
          <w:color w:themeColor="text1" w:val="000000"/>
          <w:lang w:val="sr-RS"/>
        </w:rPr>
        <w:t>Позитиван помак у последњим годинама огледа се у високим стопама обухвата деце предшколским васпитањем, чему доприноси политика бесплатног предшколског програма за децу</w:t>
      </w:r>
      <w:r>
        <w:rPr>
          <w:color w:val="FF6F00"/>
          <w:lang w:val="sr-RS"/>
        </w:rPr>
        <w:t xml:space="preserve">. </w:t>
      </w:r>
      <w:r>
        <w:rPr>
          <w:color w:themeColor="text1" w:val="000000"/>
          <w:lang w:val="sr-RS"/>
        </w:rPr>
        <w:t>Такође, унапређивање инфраструктуре — адаптације простора, улагање у опрему, дигитализација појединих наставних процеса — допринело је стварању бољих услова за рад са децом и ученицима. Предшколске и основношколске установе активно учествују и у различитим образовним, културним и спортским активностима, што доприноси укупном квалитету живота за младе породице.</w:t>
      </w:r>
    </w:p>
    <w:p>
      <w:pPr>
        <w:pStyle w:val="NormalWeb"/>
        <w:spacing w:before="280" w:after="280"/>
        <w:jc w:val="both"/>
        <w:rPr>
          <w:lang w:val="sr-RS"/>
        </w:rPr>
      </w:pPr>
      <w:r>
        <w:rPr>
          <w:color w:themeColor="text1" w:val="000000"/>
          <w:lang w:val="sr-RS"/>
        </w:rPr>
        <w:t>Ипак, бројни изазови остају изражени. Најзначајнији међу њима односи се на обезбеђивање довољног броја стручног кадра, посебно педагога, психолога, наставника природних и техничких предмета и тешко попуњивих стручних профила. Додатни изазови јављају се у руралним насељима, где је број деце мањи, а школе често имају сложеније услове за организовање ваннаставних активности, продуженог боравка и специјализованих програма.</w:t>
      </w:r>
    </w:p>
    <w:p>
      <w:pPr>
        <w:pStyle w:val="NormalWeb"/>
        <w:spacing w:before="280" w:after="280"/>
        <w:jc w:val="both"/>
        <w:rPr>
          <w:lang w:val="sr-RS"/>
        </w:rPr>
      </w:pPr>
      <w:r>
        <w:rPr>
          <w:color w:themeColor="text1" w:val="000000"/>
          <w:lang w:val="sr-RS"/>
        </w:rPr>
        <w:t xml:space="preserve">Посебну димензију чини питање задржавања младих у локалној средини. Иако су основни образовни капацитети стабилни, потребно је интензивирати сарадњу школа са локалним удружењима, јавним институцијама, привредом и културним сектором како </w:t>
      </w:r>
      <w:r>
        <w:rPr>
          <w:color w:val="000000"/>
          <w:lang w:val="sr-RS"/>
        </w:rPr>
        <w:t>би се младима понудили садржаји који ће их мотивисати да укључе у живот заједнице</w:t>
      </w:r>
      <w:r>
        <w:rPr>
          <w:color w:val="C9211E"/>
          <w:lang w:val="sr-RS"/>
        </w:rPr>
        <w:t>.</w:t>
      </w:r>
      <w:r>
        <w:rPr>
          <w:color w:themeColor="text1" w:val="000000"/>
          <w:lang w:val="sr-RS"/>
        </w:rPr>
        <w:t xml:space="preserve"> Примери таквих мера укључују ученичке пројекте у заједници, сарадњу са локалним предузећима, омладинске програме у Културном центру, менторске програме, волонтирање и неформално образовање.</w:t>
      </w:r>
    </w:p>
    <w:p>
      <w:pPr>
        <w:pStyle w:val="Heading2"/>
        <w:spacing w:before="280" w:after="280"/>
        <w:rPr>
          <w:color w:themeColor="text1" w:val="000000"/>
          <w:sz w:val="24"/>
          <w:szCs w:val="24"/>
          <w:lang w:val="sr-RS"/>
        </w:rPr>
      </w:pPr>
      <w:r>
        <w:rPr>
          <w:rStyle w:val="Strong"/>
          <w:b/>
          <w:bCs/>
          <w:color w:themeColor="text1" w:val="000000"/>
          <w:sz w:val="24"/>
          <w:szCs w:val="24"/>
          <w:lang w:val="sr-RS"/>
        </w:rPr>
        <w:t>6.4 Социјална структура и друштвене карактеристике</w:t>
      </w:r>
    </w:p>
    <w:p>
      <w:pPr>
        <w:pStyle w:val="NormalWeb"/>
        <w:spacing w:before="280" w:after="280"/>
        <w:jc w:val="both"/>
        <w:rPr>
          <w:lang w:val="sr-RS"/>
        </w:rPr>
      </w:pPr>
      <w:r>
        <w:rPr>
          <w:color w:themeColor="text1" w:val="000000"/>
          <w:lang w:val="sr-RS"/>
        </w:rPr>
        <w:t>Социјална структура општине Беочин обухвата разноврсне групе становништва чији положај, потребе и ниво друштвене укључености имају значајан утицај на креирање јавних политика. Демографска кретања последњих година указују на јасно изражен тренд старења становништва: удео лица старијих од 65 година расте, док истовремено опада број деце и младих. Према постојећем ЛАП-у, удео младих и деце износи око 13,5% укупне популације, што је ниже од националног просека, а ова структура упућује на потенцијални дугорочни демографски дефицит и смањење обима радно способног становништва у наредним деценијама.</w:t>
      </w:r>
    </w:p>
    <w:p>
      <w:pPr>
        <w:pStyle w:val="NormalWeb"/>
        <w:spacing w:before="280" w:after="280"/>
        <w:jc w:val="both"/>
        <w:rPr>
          <w:lang w:val="sr-RS"/>
        </w:rPr>
      </w:pPr>
      <w:r>
        <w:rPr>
          <w:color w:themeColor="text1" w:val="000000"/>
          <w:lang w:val="sr-RS"/>
        </w:rPr>
        <w:t>Територијална расподела становништва додатно утиче на социјалне токове. Значајан део становништва живи у руралним насељима, где приступ кључним јавним услугама — здравственој заштити, јавном превозу, образовању и социјалној подршци — није уједначен у односу на урбано подручје. Ова неравномерност ствара додатни социјални ризик, нарочито за старија лица, самачка домаћинства и породице са малом децом, којима су потребни редовни транспорт, приступ лекарима, вртићима или школама. Ограничена мобилност старијих и здравствено угрожених особа посебно је изражен проблем у руралним деловима, што повећава потребу за услужним моделима као што су кућна нега, мобилни тимови и услуге подршке у заједници.</w:t>
      </w:r>
    </w:p>
    <w:p>
      <w:pPr>
        <w:pStyle w:val="NormalWeb"/>
        <w:spacing w:before="280" w:after="280"/>
        <w:jc w:val="both"/>
        <w:rPr>
          <w:lang w:val="sr-RS"/>
        </w:rPr>
      </w:pPr>
      <w:r>
        <w:rPr>
          <w:color w:themeColor="text1" w:val="000000"/>
          <w:lang w:val="sr-RS"/>
        </w:rPr>
        <w:t xml:space="preserve">У општини делују јавне установе које доприносе друштвеној </w:t>
      </w:r>
      <w:r>
        <w:rPr>
          <w:color w:val="000000"/>
          <w:lang w:val="sr-RS"/>
        </w:rPr>
        <w:t>кохезији</w:t>
      </w:r>
      <w:r>
        <w:rPr>
          <w:color w:val="FF6F00"/>
          <w:lang w:val="sr-RS"/>
        </w:rPr>
        <w:t xml:space="preserve"> </w:t>
      </w:r>
      <w:r>
        <w:rPr>
          <w:color w:themeColor="text1" w:val="000000"/>
          <w:lang w:val="sr-RS"/>
        </w:rPr>
        <w:t xml:space="preserve">— попут Културног центра, </w:t>
      </w:r>
      <w:r>
        <w:rPr>
          <w:color w:val="000000"/>
          <w:lang w:val="sr-RS"/>
        </w:rPr>
        <w:t>Спортског центра, Туристичке организације, б</w:t>
      </w:r>
      <w:r>
        <w:rPr>
          <w:color w:themeColor="text1" w:val="000000"/>
          <w:lang w:val="sr-RS"/>
        </w:rPr>
        <w:t>иблиотеке и образовних установа — које имају значајну улогу у развијању локалне заједнице и повезивању различитих генерација. Посебно је важан значај ових институција у раду са младима, јер пружају простор за дружење, спорт, едукацију и неформално учење, што може делимично ублажити миграционе притиске и подстаћи останак младих породица.</w:t>
      </w:r>
    </w:p>
    <w:p>
      <w:pPr>
        <w:pStyle w:val="NormalWeb"/>
        <w:spacing w:before="280" w:after="280"/>
        <w:jc w:val="both"/>
        <w:rPr>
          <w:color w:themeColor="text1" w:val="000000"/>
          <w:lang w:val="sr-RS"/>
        </w:rPr>
      </w:pPr>
      <w:r>
        <w:rPr>
          <w:color w:themeColor="text1" w:val="000000"/>
          <w:lang w:val="sr-RS"/>
        </w:rPr>
        <w:t>Међу социјално осетљивим категоријама у Беочину идентификоване су породице са више деце, незапослени и нископлаћени родитељи, самохрани родитељи, старија лица, лица са инвалидитетом, као и грађани који живе у руралним деловима са ограниченим приступом јавним услугама. Постојећа социјална политика општине усмерена је на подршку угроженим групама кроз једнократну новчану помоћ, подршку за новорођенчад, набавку уџбеника и програме у области предшколског васпитања, али потребе на терену указују на растући обим услуга које је неопходно развијати.</w:t>
      </w:r>
    </w:p>
    <w:p>
      <w:pPr>
        <w:pStyle w:val="NormalWeb"/>
        <w:spacing w:before="280" w:after="280"/>
        <w:jc w:val="both"/>
        <w:rPr>
          <w:lang w:val="sr-RS"/>
        </w:rPr>
      </w:pPr>
      <w:r>
        <w:rPr>
          <w:color w:themeColor="text1" w:val="000000"/>
          <w:lang w:val="sr-RS"/>
        </w:rPr>
        <w:t>Посебно изразито расте потреба за услугама бриге о старима: како се повећава удео старосних група 65+, јавља се појачана потреба за свакодневном подршком, кућном негом, здравственим надзором и социјалном помоћи. Овај тренд представља један од најкритичнијих изазова за наредни период и захтева системски приступ, од јачања капацитета Центра за социјални рад до развоја услуга у заједници, волонтерских програма и локалних сервиса подршке.</w:t>
      </w:r>
    </w:p>
    <w:p>
      <w:pPr>
        <w:pStyle w:val="NormalWeb"/>
        <w:spacing w:before="280" w:after="280"/>
        <w:jc w:val="both"/>
        <w:rPr>
          <w:lang w:val="sr-RS"/>
        </w:rPr>
      </w:pPr>
      <w:r>
        <w:rPr>
          <w:color w:themeColor="text1" w:val="000000"/>
          <w:lang w:val="sr-RS"/>
        </w:rPr>
        <w:t>Уз све наведено, социјална структура Беочина одликује се и разликама у животном стандарду и нивоу економске активности, што додатно утиче на општу социјалну стабилност. Важно је нагласити да добре основе постоје у виду постојеће инфраструктуре, јавних установа и културних ресурса, али да је неопходно даље развијати мере које ће бити усмерене на најосетљивије групе, подршку породицама, достојанствено старење и унапређење квалитета живота у руралним насељима.</w:t>
      </w:r>
    </w:p>
    <w:p>
      <w:pPr>
        <w:pStyle w:val="Heading2"/>
        <w:spacing w:before="280" w:after="280"/>
        <w:jc w:val="both"/>
        <w:rPr>
          <w:sz w:val="24"/>
          <w:szCs w:val="24"/>
          <w:lang w:val="sr-RS"/>
        </w:rPr>
      </w:pPr>
      <w:r>
        <w:rPr>
          <w:rStyle w:val="Strong"/>
          <w:b/>
          <w:bCs/>
          <w:color w:themeColor="text1" w:val="000000"/>
          <w:sz w:val="24"/>
          <w:szCs w:val="24"/>
          <w:lang w:val="sr-RS"/>
        </w:rPr>
        <w:t>6.5 Миграције и демографски притисак</w:t>
      </w:r>
    </w:p>
    <w:p>
      <w:pPr>
        <w:pStyle w:val="NormalWeb"/>
        <w:spacing w:before="280" w:after="280"/>
        <w:jc w:val="both"/>
        <w:rPr>
          <w:lang w:val="sr-RS"/>
        </w:rPr>
      </w:pPr>
      <w:r>
        <w:rPr>
          <w:color w:themeColor="text1" w:val="000000"/>
          <w:lang w:val="sr-RS"/>
        </w:rPr>
        <w:t>Миграциони процеси представљају један од најзначајнијих фактора који обликују демографску и социо-економску структуру Беочина. Близина Новог Сада снажан је мотив одласка младих, посебно високообразованих, што доводи до „одлива потенцијала“ и слабљења локалних демографских основа.</w:t>
      </w:r>
    </w:p>
    <w:p>
      <w:pPr>
        <w:pStyle w:val="NormalWeb"/>
        <w:spacing w:before="280" w:after="280"/>
        <w:jc w:val="both"/>
        <w:rPr>
          <w:lang w:val="sr-RS"/>
        </w:rPr>
      </w:pPr>
      <w:r>
        <w:rPr>
          <w:color w:themeColor="text1" w:val="000000"/>
          <w:lang w:val="sr-RS"/>
        </w:rPr>
        <w:t xml:space="preserve">Према подацима из ЛАП-а, миграције поготово погађају младе брачне парове који након заснивања породице одлазе у боље опремљена урбана насеља. Истовремено, рурална насеља општине бележе бржи пад броја становника, </w:t>
      </w:r>
      <w:r>
        <w:rPr>
          <w:color w:val="000000"/>
          <w:lang w:val="sr-RS"/>
        </w:rPr>
        <w:t>неуједначену</w:t>
      </w:r>
      <w:r>
        <w:rPr>
          <w:color w:val="FF3333"/>
          <w:lang w:val="sr-RS"/>
        </w:rPr>
        <w:t xml:space="preserve"> </w:t>
      </w:r>
      <w:r>
        <w:rPr>
          <w:color w:themeColor="text1" w:val="000000"/>
          <w:lang w:val="sr-RS"/>
        </w:rPr>
        <w:t>старосну структуру и феномен „биолошког пражњења“, односно већи број умрлих у односу на рођене током године.</w:t>
      </w:r>
    </w:p>
    <w:p>
      <w:pPr>
        <w:pStyle w:val="NormalWeb"/>
        <w:spacing w:before="280" w:after="280"/>
        <w:jc w:val="both"/>
        <w:rPr>
          <w:lang w:val="sr-RS"/>
        </w:rPr>
      </w:pPr>
      <w:r>
        <w:rPr>
          <w:color w:themeColor="text1" w:val="000000"/>
          <w:lang w:val="sr-RS"/>
        </w:rPr>
        <w:t>Ове тенденције стварају снажне демографске притиске: смањење броја деце у школама, повећање потреба за услугама за старе, смањење броја радно способног становништва и ризик од дугорочне депопулације, упркос географским и економским предностима које општина поседује.</w:t>
      </w:r>
    </w:p>
    <w:p>
      <w:pPr>
        <w:pStyle w:val="Heading2"/>
        <w:spacing w:before="280" w:after="280"/>
        <w:jc w:val="both"/>
        <w:rPr>
          <w:sz w:val="24"/>
          <w:szCs w:val="24"/>
          <w:lang w:val="sr-RS"/>
        </w:rPr>
      </w:pPr>
      <w:r>
        <w:rPr>
          <w:rStyle w:val="Strong"/>
          <w:b/>
          <w:bCs/>
          <w:color w:themeColor="text1" w:val="000000"/>
          <w:sz w:val="24"/>
          <w:szCs w:val="24"/>
          <w:lang w:val="sr-RS"/>
        </w:rPr>
        <w:t>6.6 Кључни социо-економски изазови</w:t>
      </w:r>
    </w:p>
    <w:p>
      <w:pPr>
        <w:pStyle w:val="NormalWeb"/>
        <w:spacing w:before="280" w:after="280"/>
        <w:rPr>
          <w:lang w:val="sr-RS"/>
        </w:rPr>
      </w:pPr>
      <w:r>
        <w:rPr>
          <w:color w:themeColor="text1" w:val="000000"/>
          <w:lang w:val="sr-RS"/>
        </w:rPr>
        <w:t>На основу анализе доступних података, локалних стратешких докумената и извештаја јавних установа, могу се идентификовати следећи кључни изазови за општину Беочин:</w:t>
      </w:r>
    </w:p>
    <w:p>
      <w:pPr>
        <w:pStyle w:val="NormalWeb"/>
        <w:spacing w:before="280" w:after="280"/>
        <w:rPr>
          <w:lang w:val="sr-RS"/>
        </w:rPr>
      </w:pPr>
      <w:r>
        <w:rPr>
          <w:rStyle w:val="Strong"/>
          <w:color w:themeColor="text1" w:val="000000"/>
          <w:lang w:val="sr-RS"/>
        </w:rPr>
        <w:t xml:space="preserve">• </w:t>
      </w:r>
      <w:r>
        <w:rPr>
          <w:rStyle w:val="Strong"/>
          <w:color w:themeColor="text1" w:val="000000"/>
          <w:lang w:val="sr-RS"/>
        </w:rPr>
        <w:t>Одлив младих и радно способног становништва</w:t>
      </w:r>
      <w:r>
        <w:rPr>
          <w:color w:themeColor="text1" w:val="000000"/>
          <w:lang w:val="sr-RS"/>
        </w:rPr>
        <w:br/>
        <w:t>Миграција ка Новом Саду и иностранству доводи до губитка људских ресурса и смањења броја младих породица у општини.</w:t>
      </w:r>
    </w:p>
    <w:p>
      <w:pPr>
        <w:pStyle w:val="NormalWeb"/>
        <w:spacing w:before="280" w:after="280"/>
        <w:rPr>
          <w:lang w:val="sr-RS"/>
        </w:rPr>
      </w:pPr>
      <w:r>
        <w:rPr>
          <w:rStyle w:val="Strong"/>
          <w:color w:themeColor="text1" w:val="000000"/>
          <w:lang w:val="sr-RS"/>
        </w:rPr>
        <w:t xml:space="preserve">• </w:t>
      </w:r>
      <w:r>
        <w:rPr>
          <w:rStyle w:val="Strong"/>
          <w:color w:themeColor="text1" w:val="000000"/>
          <w:lang w:val="sr-RS"/>
        </w:rPr>
        <w:t>Демографско старење и пад наталитета</w:t>
      </w:r>
      <w:r>
        <w:rPr>
          <w:color w:themeColor="text1" w:val="000000"/>
          <w:lang w:val="sr-RS"/>
        </w:rPr>
        <w:br/>
        <w:t>Ниска стопа рађања и раст удела старијих становника стварају притисак на социјалне и здравствене системе.</w:t>
      </w:r>
    </w:p>
    <w:p>
      <w:pPr>
        <w:pStyle w:val="NormalWeb"/>
        <w:spacing w:before="280" w:after="280"/>
        <w:rPr>
          <w:lang w:val="sr-RS"/>
        </w:rPr>
      </w:pPr>
      <w:r>
        <w:rPr>
          <w:rStyle w:val="Strong"/>
          <w:color w:themeColor="text1" w:val="000000"/>
          <w:lang w:val="sr-RS"/>
        </w:rPr>
        <w:t xml:space="preserve">• </w:t>
      </w:r>
      <w:r>
        <w:rPr>
          <w:rStyle w:val="Strong"/>
          <w:color w:themeColor="text1" w:val="000000"/>
          <w:lang w:val="sr-RS"/>
        </w:rPr>
        <w:t>Ограничени локални економски капацитети</w:t>
      </w:r>
      <w:r>
        <w:rPr>
          <w:color w:themeColor="text1" w:val="000000"/>
          <w:lang w:val="sr-RS"/>
        </w:rPr>
        <w:br/>
        <w:t>Иако постоје стабилни индустријски системи, недовољна је економска диверзификација, а ограничена понуда локалних радних места утиче на одлазак младих.</w:t>
      </w:r>
    </w:p>
    <w:p>
      <w:pPr>
        <w:pStyle w:val="NormalWeb"/>
        <w:spacing w:before="280" w:after="280"/>
        <w:rPr>
          <w:lang w:val="sr-RS"/>
        </w:rPr>
      </w:pPr>
      <w:r>
        <w:rPr>
          <w:rStyle w:val="Strong"/>
          <w:color w:themeColor="text1" w:val="000000"/>
          <w:lang w:val="sr-RS"/>
        </w:rPr>
        <w:t xml:space="preserve">• </w:t>
      </w:r>
      <w:r>
        <w:rPr>
          <w:rStyle w:val="Strong"/>
          <w:color w:themeColor="text1" w:val="000000"/>
          <w:lang w:val="sr-RS"/>
        </w:rPr>
        <w:t>Смањена доступност јавних услуга у руралним насељима</w:t>
      </w:r>
      <w:r>
        <w:rPr>
          <w:color w:themeColor="text1" w:val="000000"/>
          <w:lang w:val="sr-RS"/>
        </w:rPr>
        <w:br/>
        <w:t>Разлике у инфраструктури, превозу, здравственим и образовним услугама стварају неравномерне услове живота.</w:t>
      </w:r>
    </w:p>
    <w:p>
      <w:pPr>
        <w:pStyle w:val="NormalWeb"/>
        <w:spacing w:before="280" w:after="280"/>
        <w:rPr>
          <w:lang w:val="sr-RS"/>
        </w:rPr>
      </w:pPr>
      <w:r>
        <w:rPr>
          <w:rStyle w:val="Strong"/>
          <w:color w:themeColor="text1" w:val="000000"/>
          <w:lang w:val="sr-RS"/>
        </w:rPr>
        <w:t xml:space="preserve">• </w:t>
      </w:r>
      <w:r>
        <w:rPr>
          <w:rStyle w:val="Strong"/>
          <w:color w:themeColor="text1" w:val="000000"/>
          <w:lang w:val="sr-RS"/>
        </w:rPr>
        <w:t>Недостатак стручног кадра у одређеним секторима</w:t>
      </w:r>
      <w:r>
        <w:rPr>
          <w:color w:themeColor="text1" w:val="000000"/>
          <w:lang w:val="sr-RS"/>
        </w:rPr>
        <w:br/>
        <w:t>Посебно у образовању, здравству и техничким занимањима, што утиче на квалитет јавних услуга.</w:t>
      </w:r>
    </w:p>
    <w:p>
      <w:pPr>
        <w:pStyle w:val="NormalWeb"/>
        <w:spacing w:before="280" w:after="280"/>
        <w:rPr>
          <w:lang w:val="sr-RS"/>
        </w:rPr>
      </w:pPr>
      <w:r>
        <w:rPr>
          <w:rStyle w:val="Strong"/>
          <w:color w:themeColor="text1" w:val="000000"/>
          <w:lang w:val="sr-RS"/>
        </w:rPr>
        <w:t xml:space="preserve">• </w:t>
      </w:r>
      <w:r>
        <w:rPr>
          <w:rStyle w:val="Strong"/>
          <w:color w:themeColor="text1" w:val="000000"/>
          <w:lang w:val="sr-RS"/>
        </w:rPr>
        <w:t>Просторно-еколошка ограничења</w:t>
      </w:r>
      <w:r>
        <w:rPr>
          <w:color w:themeColor="text1" w:val="000000"/>
          <w:lang w:val="sr-RS"/>
        </w:rPr>
        <w:br/>
        <w:t>Велике шумске и заштићене површине ограничавају пољопривредне и индустријске активности, али истовремено отварају потенцијале за развој туризма — који још није довољно искоришћен.</w:t>
      </w:r>
    </w:p>
    <w:p>
      <w:pPr>
        <w:pStyle w:val="Heading1"/>
        <w:numPr>
          <w:ilvl w:val="0"/>
          <w:numId w:val="1"/>
        </w:numPr>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 xml:space="preserve">ДЕСК АНАЛИЗА ДЕМОГРАФСКЕ СИТУАЦИЈЕ </w:t>
      </w:r>
    </w:p>
    <w:p>
      <w:pPr>
        <w:pStyle w:val="NormalWeb"/>
        <w:spacing w:before="280" w:after="280"/>
        <w:jc w:val="both"/>
        <w:rPr>
          <w:lang w:val="sr-RS"/>
        </w:rPr>
      </w:pPr>
      <w:r>
        <w:rPr>
          <w:color w:themeColor="text1" w:val="000000"/>
          <w:lang w:val="sr-RS"/>
        </w:rPr>
        <w:t>Демографска кретања на територији општине Беочин обележена су истим структурним изазовима који погађају већину локалних самоуправа у Србији, али и специфичностима условљеним географским, економским и миграционим факторима. Општина се налази у групи заједница које у последње две деценије бележе постепен пад укупног броја становника, неповољну старосну структуру и изражене миграционе токове ка већим урбаним срединама, пре свега ка Новом Саду.</w:t>
      </w:r>
    </w:p>
    <w:p>
      <w:pPr>
        <w:pStyle w:val="NormalWeb"/>
        <w:spacing w:before="280" w:after="280"/>
        <w:jc w:val="both"/>
        <w:rPr>
          <w:lang w:val="sr-RS"/>
        </w:rPr>
      </w:pPr>
      <w:r>
        <w:rPr>
          <w:color w:themeColor="text1" w:val="000000"/>
          <w:lang w:val="sr-RS"/>
        </w:rPr>
        <w:t xml:space="preserve">Према подацима из Пописа становништва 2022. године, општина Беочин има </w:t>
      </w:r>
      <w:r>
        <w:rPr>
          <w:color w:val="C9211E"/>
          <w:lang w:val="sr-RS"/>
        </w:rPr>
        <w:t>13.875</w:t>
      </w:r>
      <w:r>
        <w:rPr>
          <w:color w:themeColor="text1" w:val="000000"/>
          <w:lang w:val="sr-RS"/>
        </w:rPr>
        <w:t xml:space="preserve">  становника, што представља наставак негативног демографског тренда. Пад броја становника резултат је комбинације фактора: дугорочно спуштене стопе фертилитета, негативног природног прираштаја и континуираног исељавања младих одраслих, нарочито у периоду након завршетка школовања.</w:t>
      </w:r>
    </w:p>
    <w:p>
      <w:pPr>
        <w:pStyle w:val="Heading2"/>
        <w:spacing w:before="280" w:after="280"/>
        <w:rPr>
          <w:color w:themeColor="text1" w:val="000000"/>
          <w:sz w:val="24"/>
          <w:szCs w:val="24"/>
          <w:lang w:val="sr-RS"/>
        </w:rPr>
      </w:pPr>
      <w:r>
        <w:rPr>
          <w:rStyle w:val="Strong"/>
          <w:b/>
          <w:bCs/>
          <w:color w:themeColor="text1" w:val="000000"/>
          <w:sz w:val="24"/>
          <w:szCs w:val="24"/>
          <w:lang w:val="sr-RS"/>
        </w:rPr>
        <w:t>7.1 Старосна структура</w:t>
      </w:r>
    </w:p>
    <w:p>
      <w:pPr>
        <w:pStyle w:val="NormalWeb"/>
        <w:spacing w:before="280" w:after="280"/>
        <w:rPr>
          <w:color w:themeColor="text1" w:val="000000"/>
          <w:lang w:val="sr-RS"/>
        </w:rPr>
      </w:pPr>
      <w:r>
        <w:rPr>
          <w:color w:themeColor="text1" w:val="000000"/>
          <w:lang w:val="sr-RS"/>
        </w:rPr>
        <w:t>Беочин карактерише умањен удео младих и све већи удео старијих становника. Према проценама заснованим на подацима РЗС и локалним документима:</w:t>
      </w:r>
    </w:p>
    <w:p>
      <w:pPr>
        <w:pStyle w:val="NormalWeb"/>
        <w:numPr>
          <w:ilvl w:val="0"/>
          <w:numId w:val="2"/>
        </w:numPr>
        <w:spacing w:before="280" w:after="0"/>
        <w:rPr>
          <w:color w:themeColor="text1" w:val="000000"/>
          <w:lang w:val="sr-RS"/>
        </w:rPr>
      </w:pPr>
      <w:r>
        <w:rPr>
          <w:color w:themeColor="text1" w:val="000000"/>
          <w:lang w:val="sr-RS"/>
        </w:rPr>
        <w:t>лица млађа од 15 година чине између 12% и 13,5% становништва,</w:t>
      </w:r>
    </w:p>
    <w:p>
      <w:pPr>
        <w:pStyle w:val="NormalWeb"/>
        <w:numPr>
          <w:ilvl w:val="0"/>
          <w:numId w:val="2"/>
        </w:numPr>
        <w:spacing w:before="0" w:after="280"/>
        <w:rPr>
          <w:color w:themeColor="text1" w:val="000000"/>
          <w:lang w:val="sr-RS"/>
        </w:rPr>
      </w:pPr>
      <w:r>
        <w:rPr>
          <w:color w:themeColor="text1" w:val="000000"/>
          <w:lang w:val="sr-RS"/>
        </w:rPr>
        <w:t>лица старости 65+ бележе стални раст.</w:t>
      </w:r>
    </w:p>
    <w:p>
      <w:pPr>
        <w:pStyle w:val="NormalWeb"/>
        <w:spacing w:before="280" w:after="280"/>
        <w:rPr>
          <w:color w:themeColor="text1" w:val="000000"/>
          <w:lang w:val="sr-RS"/>
        </w:rPr>
      </w:pPr>
      <w:r>
        <w:rPr>
          <w:color w:themeColor="text1" w:val="000000"/>
          <w:lang w:val="sr-RS"/>
        </w:rPr>
        <w:t>Ова старосна неравнотежа доводи до опадања „демографског потенцијала“ — броја становника који у наредној деценији могу ући у репродуктивни период или радно активну групу. Она уједно повећава потребе у сфери социјалне и здравствене заштите, посебно у руралним деловима општине.</w:t>
      </w:r>
    </w:p>
    <w:p>
      <w:pPr>
        <w:pStyle w:val="Heading2"/>
        <w:spacing w:before="280" w:after="280"/>
        <w:rPr>
          <w:color w:themeColor="text1" w:val="000000"/>
          <w:sz w:val="24"/>
          <w:szCs w:val="24"/>
          <w:lang w:val="sr-RS"/>
        </w:rPr>
      </w:pPr>
      <w:r>
        <w:rPr>
          <w:rStyle w:val="Strong"/>
          <w:b/>
          <w:bCs/>
          <w:color w:themeColor="text1" w:val="000000"/>
          <w:sz w:val="24"/>
          <w:szCs w:val="24"/>
          <w:lang w:val="sr-RS"/>
        </w:rPr>
        <w:t>7.2 Природни прираштај (наталитет и морталитет)</w:t>
      </w:r>
    </w:p>
    <w:p>
      <w:pPr>
        <w:pStyle w:val="NormalWeb"/>
        <w:spacing w:before="280" w:after="280"/>
        <w:rPr>
          <w:color w:themeColor="text1" w:val="000000"/>
          <w:lang w:val="sr-RS"/>
        </w:rPr>
      </w:pPr>
      <w:r>
        <w:rPr>
          <w:color w:themeColor="text1" w:val="000000"/>
          <w:lang w:val="sr-RS"/>
        </w:rPr>
        <w:t>Негативан природни прираштај представља један од најважнијих демографских изазова. На годишњем нивоу општина бележи већи број умрлих у односу на број живорођених, што је карактеристика већине општина у АП Војводини.</w:t>
      </w:r>
    </w:p>
    <w:p>
      <w:pPr>
        <w:pStyle w:val="NormalWeb"/>
        <w:spacing w:before="280" w:after="280"/>
        <w:rPr>
          <w:color w:themeColor="text1" w:val="000000"/>
          <w:lang w:val="sr-RS"/>
        </w:rPr>
      </w:pPr>
      <w:r>
        <w:rPr>
          <w:color w:themeColor="text1" w:val="000000"/>
          <w:lang w:val="sr-RS"/>
        </w:rPr>
        <w:t>Основни фактори ниског наталитета су:</w:t>
      </w:r>
    </w:p>
    <w:p>
      <w:pPr>
        <w:pStyle w:val="NormalWeb"/>
        <w:numPr>
          <w:ilvl w:val="0"/>
          <w:numId w:val="3"/>
        </w:numPr>
        <w:spacing w:before="280" w:after="0"/>
        <w:rPr>
          <w:color w:themeColor="text1" w:val="000000"/>
          <w:lang w:val="sr-RS"/>
        </w:rPr>
      </w:pPr>
      <w:r>
        <w:rPr>
          <w:color w:themeColor="text1" w:val="000000"/>
          <w:lang w:val="sr-RS"/>
        </w:rPr>
        <w:t>одлагање родитељства,</w:t>
      </w:r>
    </w:p>
    <w:p>
      <w:pPr>
        <w:pStyle w:val="NormalWeb"/>
        <w:numPr>
          <w:ilvl w:val="0"/>
          <w:numId w:val="3"/>
        </w:numPr>
        <w:spacing w:before="0" w:after="0"/>
        <w:rPr>
          <w:color w:themeColor="text1" w:val="000000"/>
          <w:lang w:val="sr-RS"/>
        </w:rPr>
      </w:pPr>
      <w:r>
        <w:rPr>
          <w:color w:themeColor="text1" w:val="000000"/>
          <w:lang w:val="sr-RS"/>
        </w:rPr>
        <w:t>смањен број младих брачних парова,</w:t>
      </w:r>
    </w:p>
    <w:p>
      <w:pPr>
        <w:pStyle w:val="NormalWeb"/>
        <w:numPr>
          <w:ilvl w:val="0"/>
          <w:numId w:val="3"/>
        </w:numPr>
        <w:spacing w:before="0" w:after="0"/>
        <w:rPr>
          <w:color w:themeColor="text1" w:val="000000"/>
          <w:lang w:val="sr-RS"/>
        </w:rPr>
      </w:pPr>
      <w:r>
        <w:rPr>
          <w:color w:themeColor="text1" w:val="000000"/>
          <w:lang w:val="sr-RS"/>
        </w:rPr>
        <w:t>одлазак младих након школовања,</w:t>
      </w:r>
    </w:p>
    <w:p>
      <w:pPr>
        <w:pStyle w:val="NormalWeb"/>
        <w:numPr>
          <w:ilvl w:val="0"/>
          <w:numId w:val="3"/>
        </w:numPr>
        <w:spacing w:before="0" w:after="0"/>
        <w:rPr>
          <w:color w:themeColor="text1" w:val="000000"/>
          <w:lang w:val="sr-RS"/>
        </w:rPr>
      </w:pPr>
      <w:r>
        <w:rPr>
          <w:color w:themeColor="text1" w:val="000000"/>
          <w:lang w:val="sr-RS"/>
        </w:rPr>
        <w:t>ограничена локална понуда радних места за младе породице,</w:t>
      </w:r>
    </w:p>
    <w:p>
      <w:pPr>
        <w:pStyle w:val="NormalWeb"/>
        <w:numPr>
          <w:ilvl w:val="0"/>
          <w:numId w:val="3"/>
        </w:numPr>
        <w:spacing w:before="0" w:after="280"/>
        <w:rPr>
          <w:color w:themeColor="text1" w:val="000000"/>
          <w:lang w:val="sr-RS"/>
        </w:rPr>
      </w:pPr>
      <w:r>
        <w:rPr>
          <w:color w:themeColor="text1" w:val="000000"/>
          <w:lang w:val="sr-RS"/>
        </w:rPr>
        <w:t>различити социо-економски фактори (стамбено питање, финансијска стабилност).</w:t>
      </w:r>
    </w:p>
    <w:p>
      <w:pPr>
        <w:pStyle w:val="NormalWeb"/>
        <w:spacing w:before="280" w:after="280"/>
        <w:jc w:val="both"/>
        <w:rPr>
          <w:color w:val="000000"/>
          <w:lang w:val="sr-RS"/>
        </w:rPr>
      </w:pPr>
      <w:r>
        <w:rPr>
          <w:color w:val="000000"/>
          <w:lang w:val="sr-RS"/>
        </w:rPr>
        <w:t>Иако општина има више мера подршке родитељству, не постоји унивезалан модел за смањење тренда негативног природног прираштаја.</w:t>
      </w:r>
    </w:p>
    <w:p>
      <w:pPr>
        <w:pStyle w:val="Heading2"/>
        <w:spacing w:before="280" w:after="280"/>
        <w:rPr>
          <w:color w:themeColor="text1" w:val="000000"/>
          <w:sz w:val="24"/>
          <w:szCs w:val="24"/>
          <w:lang w:val="sr-RS"/>
        </w:rPr>
      </w:pPr>
      <w:r>
        <w:rPr>
          <w:rStyle w:val="Strong"/>
          <w:b/>
          <w:bCs/>
          <w:color w:themeColor="text1" w:val="000000"/>
          <w:sz w:val="24"/>
          <w:szCs w:val="24"/>
          <w:lang w:val="sr-RS"/>
        </w:rPr>
        <w:t>7.3 Миграције</w:t>
      </w:r>
    </w:p>
    <w:p>
      <w:pPr>
        <w:pStyle w:val="NormalWeb"/>
        <w:spacing w:before="280" w:after="280"/>
        <w:rPr>
          <w:color w:themeColor="text1" w:val="000000"/>
          <w:lang w:val="sr-RS"/>
        </w:rPr>
      </w:pPr>
      <w:r>
        <w:rPr>
          <w:color w:themeColor="text1" w:val="000000"/>
          <w:lang w:val="sr-RS"/>
        </w:rPr>
        <w:t xml:space="preserve">Миграциони процеси имају пресудан утицај на демографски профил </w:t>
      </w:r>
      <w:r>
        <w:rPr>
          <w:color w:val="000000"/>
          <w:lang w:val="sr-RS"/>
        </w:rPr>
        <w:t xml:space="preserve">oпштине Беочин. </w:t>
      </w:r>
      <w:r>
        <w:rPr>
          <w:color w:themeColor="text1" w:val="000000"/>
          <w:lang w:val="sr-RS"/>
        </w:rPr>
        <w:t>Због непосредне близине Новог Сада, велики број младих у периоду школовања и раног запошљавања одлази у урбану средину, где остаје трајно. Ови процеси обухватају:</w:t>
      </w:r>
    </w:p>
    <w:p>
      <w:pPr>
        <w:pStyle w:val="NormalWeb"/>
        <w:numPr>
          <w:ilvl w:val="0"/>
          <w:numId w:val="4"/>
        </w:numPr>
        <w:spacing w:before="280" w:after="0"/>
        <w:rPr>
          <w:color w:themeColor="text1" w:val="000000"/>
          <w:lang w:val="sr-RS"/>
        </w:rPr>
      </w:pPr>
      <w:r>
        <w:rPr>
          <w:rStyle w:val="Strong"/>
          <w:color w:themeColor="text1" w:val="000000"/>
          <w:lang w:val="sr-RS"/>
        </w:rPr>
        <w:t>дневне миграције</w:t>
      </w:r>
      <w:r>
        <w:rPr>
          <w:color w:themeColor="text1" w:val="000000"/>
          <w:lang w:val="sr-RS"/>
        </w:rPr>
        <w:t>, посебно радно активне популације запослене у Новом Саду,</w:t>
      </w:r>
    </w:p>
    <w:p>
      <w:pPr>
        <w:pStyle w:val="NormalWeb"/>
        <w:numPr>
          <w:ilvl w:val="0"/>
          <w:numId w:val="4"/>
        </w:numPr>
        <w:spacing w:before="0" w:after="0"/>
        <w:rPr>
          <w:color w:themeColor="text1" w:val="000000"/>
          <w:lang w:val="sr-RS"/>
        </w:rPr>
      </w:pPr>
      <w:r>
        <w:rPr>
          <w:rStyle w:val="Strong"/>
          <w:color w:themeColor="text1" w:val="000000"/>
          <w:lang w:val="sr-RS"/>
        </w:rPr>
        <w:t>образовне миграције</w:t>
      </w:r>
      <w:r>
        <w:rPr>
          <w:color w:themeColor="text1" w:val="000000"/>
          <w:lang w:val="sr-RS"/>
        </w:rPr>
        <w:t>, јер сви средњошколци и студенти похађају наставу ван општине,</w:t>
      </w:r>
    </w:p>
    <w:p>
      <w:pPr>
        <w:pStyle w:val="NormalWeb"/>
        <w:numPr>
          <w:ilvl w:val="0"/>
          <w:numId w:val="4"/>
        </w:numPr>
        <w:spacing w:before="0" w:after="280"/>
        <w:rPr>
          <w:color w:themeColor="text1" w:val="000000"/>
          <w:lang w:val="sr-RS"/>
        </w:rPr>
      </w:pPr>
      <w:r>
        <w:rPr>
          <w:rStyle w:val="Strong"/>
          <w:color w:themeColor="text1" w:val="000000"/>
          <w:lang w:val="sr-RS"/>
        </w:rPr>
        <w:t>трајне миграције</w:t>
      </w:r>
      <w:r>
        <w:rPr>
          <w:color w:themeColor="text1" w:val="000000"/>
          <w:lang w:val="sr-RS"/>
        </w:rPr>
        <w:t>, које се дешавају након завршетка школовања или након заснивања породице.</w:t>
      </w:r>
    </w:p>
    <w:p>
      <w:pPr>
        <w:pStyle w:val="NormalWeb"/>
        <w:spacing w:before="280" w:after="280"/>
        <w:jc w:val="both"/>
        <w:rPr>
          <w:lang w:val="sr-RS"/>
        </w:rPr>
      </w:pPr>
      <w:r>
        <w:rPr>
          <w:color w:themeColor="text1" w:val="000000"/>
          <w:lang w:val="sr-RS"/>
        </w:rPr>
        <w:t>Миграције су посебно изражене у руралним насељима општине (нарочито села Свилош и Грабово), где се уочава бржи пад броја становника и неповољнија старосна структура.</w:t>
      </w:r>
    </w:p>
    <w:p>
      <w:pPr>
        <w:pStyle w:val="Heading2"/>
        <w:spacing w:before="280" w:after="280"/>
        <w:rPr>
          <w:color w:themeColor="text1" w:val="000000"/>
          <w:sz w:val="24"/>
          <w:szCs w:val="24"/>
          <w:lang w:val="sr-RS"/>
        </w:rPr>
      </w:pPr>
      <w:r>
        <w:rPr>
          <w:rStyle w:val="Strong"/>
          <w:b/>
          <w:bCs/>
          <w:color w:themeColor="text1" w:val="000000"/>
          <w:sz w:val="24"/>
          <w:szCs w:val="24"/>
          <w:lang w:val="sr-RS"/>
        </w:rPr>
        <w:t>7.4 Просторне карактеристике и њихов утицај на демографију</w:t>
      </w:r>
    </w:p>
    <w:p>
      <w:pPr>
        <w:pStyle w:val="NormalWeb"/>
        <w:spacing w:before="280" w:after="280"/>
        <w:jc w:val="both"/>
        <w:rPr>
          <w:lang w:val="sr-RS"/>
        </w:rPr>
      </w:pPr>
      <w:r>
        <w:rPr>
          <w:color w:themeColor="text1" w:val="000000"/>
          <w:lang w:val="sr-RS"/>
        </w:rPr>
        <w:t xml:space="preserve">Специфичан географски положај — део општине који припада Националном парку Фрушка гора, висок удео шума и ограничено пољопривредно земљиште — директно утиче на тип развоја и тип </w:t>
      </w:r>
      <w:r>
        <w:rPr>
          <w:color w:themeColor="text1" w:val="000000"/>
          <w:lang w:val="sr-RS"/>
        </w:rPr>
        <w:t>насе</w:t>
      </w:r>
      <w:r>
        <w:rPr>
          <w:color w:themeColor="text1" w:val="000000"/>
          <w:lang w:val="en-US"/>
        </w:rPr>
        <w:t>љ</w:t>
      </w:r>
      <w:r>
        <w:rPr>
          <w:color w:themeColor="text1" w:val="000000"/>
          <w:lang w:val="sr-RS"/>
        </w:rPr>
        <w:t>авања</w:t>
      </w:r>
      <w:r>
        <w:rPr>
          <w:color w:themeColor="text1" w:val="000000"/>
          <w:lang w:val="sr-RS"/>
        </w:rPr>
        <w:t>. Просторна ограничења за ширење стамбених зона и индустрије подстичу:</w:t>
      </w:r>
    </w:p>
    <w:p>
      <w:pPr>
        <w:pStyle w:val="NormalWeb"/>
        <w:numPr>
          <w:ilvl w:val="0"/>
          <w:numId w:val="5"/>
        </w:numPr>
        <w:spacing w:before="280" w:after="0"/>
        <w:jc w:val="both"/>
        <w:rPr>
          <w:lang w:val="sr-RS"/>
        </w:rPr>
      </w:pPr>
      <w:r>
        <w:rPr>
          <w:color w:themeColor="text1" w:val="000000"/>
          <w:lang w:val="sr-RS"/>
        </w:rPr>
        <w:t>већу зависност од других градова у области запослења,</w:t>
      </w:r>
    </w:p>
    <w:p>
      <w:pPr>
        <w:pStyle w:val="NormalWeb"/>
        <w:numPr>
          <w:ilvl w:val="0"/>
          <w:numId w:val="5"/>
        </w:numPr>
        <w:spacing w:before="0" w:after="0"/>
        <w:jc w:val="both"/>
        <w:rPr>
          <w:lang w:val="sr-RS"/>
        </w:rPr>
      </w:pPr>
      <w:r>
        <w:rPr>
          <w:color w:themeColor="text1" w:val="000000"/>
          <w:lang w:val="sr-RS"/>
        </w:rPr>
        <w:t>недовољан развој локалне стамбене понуде за младе,</w:t>
      </w:r>
    </w:p>
    <w:p>
      <w:pPr>
        <w:pStyle w:val="NormalWeb"/>
        <w:numPr>
          <w:ilvl w:val="0"/>
          <w:numId w:val="5"/>
        </w:numPr>
        <w:spacing w:before="0" w:after="280"/>
        <w:jc w:val="both"/>
        <w:rPr>
          <w:lang w:val="sr-RS"/>
        </w:rPr>
      </w:pPr>
      <w:r>
        <w:rPr>
          <w:color w:themeColor="text1" w:val="000000"/>
          <w:lang w:val="sr-RS"/>
        </w:rPr>
        <w:t>концентрисање становништва у појединим насељима, док рурална насеља стагнирају.</w:t>
      </w:r>
    </w:p>
    <w:p>
      <w:pPr>
        <w:pStyle w:val="NormalWeb"/>
        <w:spacing w:before="280" w:after="280"/>
        <w:jc w:val="both"/>
        <w:rPr>
          <w:lang w:val="sr-RS"/>
        </w:rPr>
      </w:pPr>
      <w:r>
        <w:rPr>
          <w:color w:themeColor="text1" w:val="000000"/>
          <w:lang w:val="sr-RS"/>
        </w:rPr>
        <w:t>Ови фактори се директно одражавају на способности општине да привуче и задржи младе породице.</w:t>
      </w:r>
    </w:p>
    <w:p>
      <w:pPr>
        <w:pStyle w:val="Heading2"/>
        <w:spacing w:before="280" w:after="280"/>
        <w:rPr>
          <w:color w:themeColor="text1" w:val="000000"/>
          <w:sz w:val="24"/>
          <w:szCs w:val="24"/>
          <w:lang w:val="sr-RS"/>
        </w:rPr>
      </w:pPr>
      <w:r>
        <w:rPr>
          <w:rStyle w:val="Strong"/>
          <w:b/>
          <w:bCs/>
          <w:color w:themeColor="text1" w:val="000000"/>
          <w:sz w:val="24"/>
          <w:szCs w:val="24"/>
          <w:lang w:val="sr-RS"/>
        </w:rPr>
        <w:t>7.5 Домаћинства и породична структура</w:t>
      </w:r>
    </w:p>
    <w:p>
      <w:pPr>
        <w:pStyle w:val="NormalWeb"/>
        <w:spacing w:before="280" w:after="280"/>
        <w:rPr>
          <w:color w:themeColor="text1" w:val="000000"/>
          <w:lang w:val="sr-RS"/>
        </w:rPr>
      </w:pPr>
      <w:r>
        <w:rPr>
          <w:color w:themeColor="text1" w:val="000000"/>
          <w:lang w:val="sr-RS"/>
        </w:rPr>
        <w:t>Структура домаћинстава потврђује тенденције демографског старења и миграција:</w:t>
      </w:r>
    </w:p>
    <w:p>
      <w:pPr>
        <w:pStyle w:val="NormalWeb"/>
        <w:numPr>
          <w:ilvl w:val="0"/>
          <w:numId w:val="6"/>
        </w:numPr>
        <w:spacing w:before="280" w:after="0"/>
        <w:rPr>
          <w:color w:themeColor="text1" w:val="000000"/>
          <w:lang w:val="sr-RS"/>
        </w:rPr>
      </w:pPr>
      <w:r>
        <w:rPr>
          <w:color w:themeColor="text1" w:val="000000"/>
          <w:lang w:val="sr-RS"/>
        </w:rPr>
        <w:t>расте број самачких домаћинстава, нарочито у старијим групама,</w:t>
      </w:r>
    </w:p>
    <w:p>
      <w:pPr>
        <w:pStyle w:val="NormalWeb"/>
        <w:numPr>
          <w:ilvl w:val="0"/>
          <w:numId w:val="6"/>
        </w:numPr>
        <w:spacing w:before="0" w:after="0"/>
        <w:rPr>
          <w:color w:themeColor="text1" w:val="000000"/>
          <w:lang w:val="sr-RS"/>
        </w:rPr>
      </w:pPr>
      <w:r>
        <w:rPr>
          <w:color w:themeColor="text1" w:val="000000"/>
          <w:lang w:val="sr-RS"/>
        </w:rPr>
        <w:t>опада број вишечланих домаћинстава,</w:t>
      </w:r>
    </w:p>
    <w:p>
      <w:pPr>
        <w:pStyle w:val="NormalWeb"/>
        <w:numPr>
          <w:ilvl w:val="0"/>
          <w:numId w:val="6"/>
        </w:numPr>
        <w:spacing w:before="0" w:after="0"/>
        <w:rPr>
          <w:color w:themeColor="text1" w:val="000000"/>
          <w:lang w:val="sr-RS"/>
        </w:rPr>
      </w:pPr>
      <w:r>
        <w:rPr>
          <w:color w:themeColor="text1" w:val="000000"/>
          <w:lang w:val="sr-RS"/>
        </w:rPr>
        <w:t>присутан је пад броја младих брачних парова,</w:t>
      </w:r>
    </w:p>
    <w:p>
      <w:pPr>
        <w:pStyle w:val="NormalWeb"/>
        <w:numPr>
          <w:ilvl w:val="0"/>
          <w:numId w:val="6"/>
        </w:numPr>
        <w:spacing w:before="0" w:after="280"/>
        <w:rPr>
          <w:color w:themeColor="text1" w:val="000000"/>
          <w:lang w:val="sr-RS"/>
        </w:rPr>
      </w:pPr>
      <w:r>
        <w:rPr>
          <w:color w:themeColor="text1" w:val="000000"/>
          <w:lang w:val="sr-RS"/>
        </w:rPr>
        <w:t>мањи број деце по домаћинству.</w:t>
      </w:r>
    </w:p>
    <w:p>
      <w:pPr>
        <w:pStyle w:val="NormalWeb"/>
        <w:spacing w:before="280" w:after="280"/>
        <w:rPr>
          <w:color w:themeColor="text1" w:val="000000"/>
          <w:lang w:val="sr-RS"/>
        </w:rPr>
      </w:pPr>
      <w:r>
        <w:rPr>
          <w:color w:themeColor="text1" w:val="000000"/>
          <w:lang w:val="sr-RS"/>
        </w:rPr>
        <w:t>Овакви обрасци утичу на планирање услуга, као што су социјална заштита, здравствене услуге, вртићи, школе и програми подршке старима.</w:t>
      </w:r>
    </w:p>
    <w:p>
      <w:pPr>
        <w:pStyle w:val="Heading2"/>
        <w:spacing w:before="280" w:after="280"/>
        <w:rPr>
          <w:color w:themeColor="text1" w:val="000000"/>
          <w:sz w:val="24"/>
          <w:szCs w:val="24"/>
          <w:lang w:val="sr-RS"/>
        </w:rPr>
      </w:pPr>
      <w:r>
        <w:rPr>
          <w:rStyle w:val="Strong"/>
          <w:b/>
          <w:bCs/>
          <w:color w:themeColor="text1" w:val="000000"/>
          <w:sz w:val="24"/>
          <w:szCs w:val="24"/>
          <w:lang w:val="sr-RS"/>
        </w:rPr>
        <w:t>7.6 Демографске перспективе</w:t>
      </w:r>
    </w:p>
    <w:p>
      <w:pPr>
        <w:pStyle w:val="NormalWeb"/>
        <w:spacing w:before="280" w:after="280"/>
        <w:rPr>
          <w:color w:themeColor="text1" w:val="000000"/>
          <w:lang w:val="sr-RS"/>
        </w:rPr>
      </w:pPr>
      <w:r>
        <w:rPr>
          <w:color w:themeColor="text1" w:val="000000"/>
          <w:lang w:val="sr-RS"/>
        </w:rPr>
        <w:t>Ако се не предузму стабилне и дугорочне мере, демографски трендови указују на:</w:t>
      </w:r>
    </w:p>
    <w:p>
      <w:pPr>
        <w:pStyle w:val="NormalWeb"/>
        <w:numPr>
          <w:ilvl w:val="0"/>
          <w:numId w:val="7"/>
        </w:numPr>
        <w:spacing w:before="280" w:after="0"/>
        <w:rPr>
          <w:color w:themeColor="text1" w:val="000000"/>
          <w:lang w:val="sr-RS"/>
        </w:rPr>
      </w:pPr>
      <w:r>
        <w:rPr>
          <w:color w:themeColor="text1" w:val="000000"/>
          <w:lang w:val="sr-RS"/>
        </w:rPr>
        <w:t>наставак благог смањења броја становника,</w:t>
      </w:r>
    </w:p>
    <w:p>
      <w:pPr>
        <w:pStyle w:val="NormalWeb"/>
        <w:numPr>
          <w:ilvl w:val="0"/>
          <w:numId w:val="7"/>
        </w:numPr>
        <w:spacing w:before="0" w:after="0"/>
        <w:rPr>
          <w:color w:themeColor="text1" w:val="000000"/>
          <w:lang w:val="sr-RS"/>
        </w:rPr>
      </w:pPr>
      <w:r>
        <w:rPr>
          <w:color w:themeColor="text1" w:val="000000"/>
          <w:lang w:val="sr-RS"/>
        </w:rPr>
        <w:t>продубљивање старосне неравнотеже,</w:t>
      </w:r>
    </w:p>
    <w:p>
      <w:pPr>
        <w:pStyle w:val="NormalWeb"/>
        <w:numPr>
          <w:ilvl w:val="0"/>
          <w:numId w:val="7"/>
        </w:numPr>
        <w:spacing w:before="0" w:after="0"/>
        <w:rPr>
          <w:color w:themeColor="text1" w:val="000000"/>
          <w:lang w:val="sr-RS"/>
        </w:rPr>
      </w:pPr>
      <w:r>
        <w:rPr>
          <w:color w:themeColor="text1" w:val="000000"/>
          <w:lang w:val="sr-RS"/>
        </w:rPr>
        <w:t>растућу потребу за услугама подршке старима,</w:t>
      </w:r>
    </w:p>
    <w:p>
      <w:pPr>
        <w:pStyle w:val="NormalWeb"/>
        <w:numPr>
          <w:ilvl w:val="0"/>
          <w:numId w:val="7"/>
        </w:numPr>
        <w:spacing w:before="0" w:after="0"/>
        <w:rPr>
          <w:color w:themeColor="text1" w:val="000000"/>
          <w:lang w:val="sr-RS"/>
        </w:rPr>
      </w:pPr>
      <w:r>
        <w:rPr>
          <w:color w:themeColor="text1" w:val="000000"/>
          <w:lang w:val="sr-RS"/>
        </w:rPr>
        <w:t>даљи одлив младог становништва,</w:t>
      </w:r>
    </w:p>
    <w:p>
      <w:pPr>
        <w:pStyle w:val="NormalWeb"/>
        <w:numPr>
          <w:ilvl w:val="0"/>
          <w:numId w:val="7"/>
        </w:numPr>
        <w:spacing w:before="0" w:after="280"/>
        <w:rPr>
          <w:color w:themeColor="text1" w:val="000000"/>
          <w:lang w:val="sr-RS"/>
        </w:rPr>
      </w:pPr>
      <w:r>
        <w:rPr>
          <w:color w:themeColor="text1" w:val="000000"/>
          <w:lang w:val="sr-RS"/>
        </w:rPr>
        <w:t>све већи демографски притисак на рурална насеља.</w:t>
      </w:r>
    </w:p>
    <w:p>
      <w:pPr>
        <w:pStyle w:val="NormalWeb"/>
        <w:spacing w:before="280" w:after="280"/>
        <w:jc w:val="both"/>
        <w:rPr>
          <w:lang w:val="sr-RS"/>
        </w:rPr>
      </w:pPr>
      <w:r>
        <w:rPr>
          <w:color w:themeColor="text1" w:val="000000"/>
          <w:lang w:val="sr-RS"/>
        </w:rPr>
        <w:t xml:space="preserve">Ипак,  </w:t>
      </w:r>
      <w:r>
        <w:rPr>
          <w:color w:val="000000"/>
          <w:lang w:val="sr-RS"/>
        </w:rPr>
        <w:t>oпштина Беочин</w:t>
      </w:r>
      <w:r>
        <w:rPr>
          <w:color w:themeColor="text1" w:val="000000"/>
          <w:lang w:val="sr-RS"/>
        </w:rPr>
        <w:t xml:space="preserve"> има значајне потенцијале који се могу активирати: близина Новог Сада, могућности развоја туризма, простор за развој локалног предузетништва, као и добре претпоставке у области инфраструктуре, културе и образовања.</w:t>
      </w:r>
    </w:p>
    <w:p>
      <w:pPr>
        <w:pStyle w:val="Heading2"/>
        <w:spacing w:before="280" w:after="280"/>
        <w:rPr>
          <w:color w:themeColor="text1" w:val="000000"/>
          <w:sz w:val="24"/>
          <w:szCs w:val="24"/>
          <w:lang w:val="sr-RS"/>
        </w:rPr>
      </w:pPr>
      <w:r>
        <w:rPr>
          <w:rStyle w:val="Strong"/>
          <w:b/>
          <w:bCs/>
          <w:color w:themeColor="text1" w:val="000000"/>
          <w:sz w:val="24"/>
          <w:szCs w:val="24"/>
          <w:lang w:val="sr-RS"/>
        </w:rPr>
        <w:t>7.7 Кључни демографски изазови</w:t>
      </w:r>
    </w:p>
    <w:p>
      <w:pPr>
        <w:pStyle w:val="Normal"/>
        <w:jc w:val="both"/>
        <w:rPr>
          <w:lang w:val="sr-RS"/>
        </w:rPr>
      </w:pPr>
      <w:r>
        <w:rPr>
          <w:lang w:val="sr-RS"/>
        </w:rPr>
        <w:t xml:space="preserve">Демографска ситуација у општини Беочин обележена је сложеним и међусобно повезаним изазовима који директно утичу на одрживи развој локалне заједнице. Низак наталитет и дугорочно негативан природни прираштај већ годинама доводе до постепеног смањења укупног броја становника. Истовремено, општина се суочава са континуираним одливом младих и образованих људи, што додатно умањује репродуктивни и економски потенцијал заједнице. </w:t>
      </w:r>
    </w:p>
    <w:p>
      <w:pPr>
        <w:pStyle w:val="Normal"/>
        <w:jc w:val="both"/>
        <w:rPr>
          <w:lang w:val="sr-RS"/>
        </w:rPr>
      </w:pPr>
      <w:r>
        <w:rPr>
          <w:lang w:val="sr-RS"/>
        </w:rPr>
      </w:r>
    </w:p>
    <w:p>
      <w:pPr>
        <w:pStyle w:val="Normal"/>
        <w:jc w:val="both"/>
        <w:rPr>
          <w:lang w:val="sr-RS"/>
        </w:rPr>
      </w:pPr>
      <w:r>
        <w:rPr>
          <w:lang w:val="sr-RS"/>
        </w:rPr>
        <w:t xml:space="preserve">Присутно је и све израженије старење становништва, уз смањење удела радно способне популације, што ствара додатне притиске на локални систем социјалне и здравствене заштите. Посебно забрињава демографско пражњење руралних насеља, у којима су јавне услуге мање доступне, а економске прилике ограничене. </w:t>
      </w:r>
    </w:p>
    <w:p>
      <w:pPr>
        <w:pStyle w:val="Normal"/>
        <w:jc w:val="both"/>
        <w:rPr>
          <w:lang w:val="sr-RS"/>
        </w:rPr>
      </w:pPr>
      <w:r>
        <w:rPr>
          <w:lang w:val="sr-RS"/>
        </w:rPr>
      </w:r>
    </w:p>
    <w:p>
      <w:pPr>
        <w:pStyle w:val="Normal"/>
        <w:jc w:val="both"/>
        <w:rPr>
          <w:lang w:val="sr-RS"/>
        </w:rPr>
      </w:pPr>
      <w:r>
        <w:rPr>
          <w:lang w:val="sr-RS"/>
        </w:rPr>
        <w:t xml:space="preserve">Недовољно развијена локална радно-економска и стамбена понуда за младе додатно подстиче њихово исељавање, док неравномерна доступност образовних, здравствених и социјалних услуга ствара просторне неједнакости у квалитету живота. </w:t>
      </w:r>
    </w:p>
    <w:p>
      <w:pPr>
        <w:pStyle w:val="Normal"/>
        <w:jc w:val="both"/>
        <w:rPr>
          <w:lang w:val="sr-RS"/>
        </w:rPr>
      </w:pPr>
      <w:r>
        <w:rPr>
          <w:lang w:val="sr-RS"/>
        </w:rPr>
      </w:r>
    </w:p>
    <w:p>
      <w:pPr>
        <w:pStyle w:val="Normal"/>
        <w:jc w:val="both"/>
        <w:rPr>
          <w:lang w:val="sr-RS"/>
        </w:rPr>
      </w:pPr>
      <w:r>
        <w:rPr>
          <w:lang w:val="sr-RS"/>
        </w:rPr>
        <w:t>Ови фактори заједно обликују демографски профил општине и јасно указују на потребу за свеобухватним, координисаним и дугорочним мерама популационе политике.</w:t>
      </w:r>
    </w:p>
    <w:p>
      <w:pPr>
        <w:pStyle w:val="Normal"/>
        <w:rPr>
          <w:color w:themeColor="text1" w:val="000000"/>
          <w:lang w:val="sr-RS"/>
        </w:rPr>
      </w:pPr>
      <w:r>
        <w:rPr>
          <w:color w:themeColor="text1" w:val="000000"/>
          <w:lang w:val="sr-RS"/>
        </w:rPr>
      </w:r>
    </w:p>
    <w:p>
      <w:pPr>
        <w:pStyle w:val="Normal"/>
        <w:rPr>
          <w:color w:themeColor="text1" w:val="000000"/>
          <w:lang w:val="sr-RS"/>
        </w:rPr>
      </w:pPr>
      <w:r>
        <w:rPr>
          <w:color w:themeColor="text1" w:val="000000"/>
          <w:lang w:val="sr-RS"/>
        </w:rPr>
      </w:r>
    </w:p>
    <w:p>
      <w:pPr>
        <w:pStyle w:val="Heading1"/>
        <w:numPr>
          <w:ilvl w:val="0"/>
          <w:numId w:val="1"/>
        </w:numPr>
        <w:rPr>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АНАЛИЗА ПРИМАРНИХ ПОДАТАКА</w:t>
      </w:r>
    </w:p>
    <w:p>
      <w:pPr>
        <w:pStyle w:val="NormalWeb"/>
        <w:spacing w:before="280" w:after="280"/>
        <w:jc w:val="both"/>
        <w:rPr>
          <w:lang w:val="sr-RS"/>
        </w:rPr>
      </w:pPr>
      <w:r>
        <w:rPr>
          <w:color w:themeColor="text1" w:val="000000"/>
          <w:lang w:val="sr-RS"/>
        </w:rPr>
        <w:t xml:space="preserve">У складу са методологијом израде Локалног акционог плана популационе политике, поред </w:t>
      </w:r>
      <w:r>
        <w:rPr>
          <w:color w:val="212121"/>
          <w:lang w:val="sr-RS"/>
        </w:rPr>
        <w:t>деск</w:t>
      </w:r>
      <w:r>
        <w:rPr>
          <w:color w:themeColor="text1" w:val="000000"/>
          <w:lang w:val="sr-RS"/>
        </w:rPr>
        <w:t xml:space="preserve"> анализе и увида у доступне статистичке и стратешке изворе, спроведена је и обимна анализа примарних података. Овај део анализе обухвата информације које су директно прибављене од локалних актера, институција и грађана, са циљем да се демографски и социо-економски положај становништва сагледа што прецизније и на основу актуелних, теренски проверених података.</w:t>
      </w:r>
    </w:p>
    <w:p>
      <w:pPr>
        <w:pStyle w:val="NormalWeb"/>
        <w:spacing w:before="280" w:after="280"/>
        <w:jc w:val="both"/>
        <w:rPr>
          <w:lang w:val="sr-RS"/>
        </w:rPr>
      </w:pPr>
      <w:r>
        <w:rPr>
          <w:color w:themeColor="text1" w:val="000000"/>
          <w:lang w:val="sr-RS"/>
        </w:rPr>
        <w:t>Прикупљање примарних података је реализовано кроз структуриране упитнике, индивидуалну комуникацију и директно извештавање релевантних субјеката на територији општине. Оваква методолошка поставка омогућила је добијање специфичних, детаљних и поузданих информација које нису доступне у редовним статистичким изворима, а које су од пресудног значаја за реално планирање мера популационе политике.</w:t>
      </w:r>
    </w:p>
    <w:p>
      <w:pPr>
        <w:pStyle w:val="NormalWeb"/>
        <w:spacing w:before="280" w:after="280"/>
        <w:jc w:val="both"/>
        <w:rPr>
          <w:lang w:val="sr-RS"/>
        </w:rPr>
      </w:pPr>
      <w:r>
        <w:rPr>
          <w:color w:themeColor="text1" w:val="000000"/>
          <w:lang w:val="sr-RS"/>
        </w:rPr>
        <w:t>За потребе анализе, примарни извори података класификовани су у три кључне групе:</w:t>
      </w:r>
    </w:p>
    <w:p>
      <w:pPr>
        <w:pStyle w:val="NormalWeb"/>
        <w:spacing w:before="280" w:after="280"/>
        <w:ind w:hanging="0" w:left="720"/>
        <w:rPr>
          <w:b/>
          <w:bCs/>
          <w:color w:themeColor="text1" w:val="000000"/>
          <w:lang w:val="sr-RS"/>
        </w:rPr>
      </w:pPr>
      <w:r>
        <w:rPr>
          <w:b/>
          <w:bCs/>
          <w:color w:themeColor="text1" w:val="000000"/>
          <w:lang w:val="sr-RS"/>
        </w:rPr>
        <w:t>1. Подаци које је доставила општина Беочин</w:t>
      </w:r>
    </w:p>
    <w:p>
      <w:pPr>
        <w:pStyle w:val="NormalWeb"/>
        <w:spacing w:before="280" w:after="280"/>
        <w:jc w:val="both"/>
        <w:rPr>
          <w:lang w:val="sr-RS"/>
        </w:rPr>
      </w:pPr>
      <w:r>
        <w:rPr>
          <w:color w:themeColor="text1" w:val="000000"/>
          <w:lang w:val="sr-RS"/>
        </w:rPr>
        <w:t>Као носилац локалних политика, општина Беочин обезбедила је најобухватнији скуп основних демографских и социо-економских информација, укључујући број становника, старосну структуру, податке о наталитету и морталитету, миграцијама, социјалној структури, породичним обрасцима и стању на тржишту рада. Ови подаци представљају полазну основу за све наредне сегменте анализе.</w:t>
      </w:r>
    </w:p>
    <w:p>
      <w:pPr>
        <w:pStyle w:val="NormalWeb"/>
        <w:spacing w:before="280" w:after="280"/>
        <w:ind w:hanging="0" w:left="720"/>
        <w:rPr>
          <w:b/>
          <w:bCs/>
          <w:color w:themeColor="text1" w:val="000000"/>
          <w:lang w:val="sr-RS"/>
        </w:rPr>
      </w:pPr>
      <w:r>
        <w:rPr>
          <w:b/>
          <w:bCs/>
          <w:color w:themeColor="text1" w:val="000000"/>
          <w:lang w:val="sr-RS"/>
        </w:rPr>
        <w:t>2. Подаци које су доставиле релевантне институције</w:t>
      </w:r>
    </w:p>
    <w:p>
      <w:pPr>
        <w:pStyle w:val="NormalWeb"/>
        <w:spacing w:before="280" w:after="280"/>
        <w:jc w:val="both"/>
        <w:rPr>
          <w:lang w:val="sr-RS"/>
        </w:rPr>
      </w:pPr>
      <w:r>
        <w:rPr>
          <w:color w:themeColor="text1" w:val="000000"/>
          <w:lang w:val="sr-RS"/>
        </w:rPr>
        <w:t>Ова група обухвата информације добијене од образовних установа, Центра за социјални рад, Дома здравља, установа културе и других организација које својом делатношћу директно утичу на квалитет живота грађана. Прикупљени подаци омогућили су увид у функционисање услуга, капацитете, број корисника, уочене изазове и потребе за додатном подршком.</w:t>
      </w:r>
    </w:p>
    <w:p>
      <w:pPr>
        <w:pStyle w:val="NormalWeb"/>
        <w:spacing w:before="280" w:after="280"/>
        <w:ind w:hanging="0" w:left="720"/>
        <w:rPr>
          <w:b/>
          <w:bCs/>
          <w:color w:themeColor="text1" w:val="000000"/>
          <w:lang w:val="sr-RS"/>
        </w:rPr>
      </w:pPr>
      <w:r>
        <w:rPr>
          <w:b/>
          <w:bCs/>
          <w:color w:themeColor="text1" w:val="000000"/>
          <w:lang w:val="sr-RS"/>
        </w:rPr>
        <w:t>3. Подаци прикупљени од грађана</w:t>
      </w:r>
    </w:p>
    <w:p>
      <w:pPr>
        <w:pStyle w:val="NormalWeb"/>
        <w:spacing w:before="280" w:after="280"/>
        <w:jc w:val="both"/>
        <w:rPr>
          <w:lang w:val="sr-RS"/>
        </w:rPr>
      </w:pPr>
      <w:r>
        <w:rPr>
          <w:color w:themeColor="text1" w:val="000000"/>
          <w:lang w:val="sr-RS"/>
        </w:rPr>
        <w:t>Трећи ниво примарних података односи се на непосредна мишљења, ставове и искуства становника Беочина. Подаци су прикупљени путем анкетирања, консултација или других облика директног укључивања грађана. Овај сегмент пружа квалитативне увиде у потребе, изазове и очекивања породица, младих, старијих и других група становништва, који нису увек видљиви кроз институционалне показатеље.</w:t>
      </w:r>
    </w:p>
    <w:p>
      <w:pPr>
        <w:pStyle w:val="NormalWeb"/>
        <w:spacing w:before="280" w:after="280"/>
        <w:jc w:val="both"/>
        <w:rPr>
          <w:lang w:val="sr-RS"/>
        </w:rPr>
      </w:pPr>
      <w:r>
        <w:rPr>
          <w:color w:themeColor="text1" w:val="000000"/>
          <w:lang w:val="sr-RS"/>
        </w:rPr>
        <w:t>Овако конципирана анализа примарних података допуњује деск анализу и омогућава целовито разумевање демографске ситуације у општини. У наставку следе детаљни прикази појединачних група података.</w:t>
      </w:r>
    </w:p>
    <w:p>
      <w:pPr>
        <w:pStyle w:val="Heading1"/>
        <w:numPr>
          <w:ilvl w:val="1"/>
          <w:numId w:val="8"/>
        </w:numPr>
        <w:rPr>
          <w:rStyle w:val="Strong"/>
          <w:rFonts w:ascii="Times New Roman" w:hAnsi="Times New Roman" w:cs="Times New Roman"/>
          <w:b w:val="false"/>
          <w:bCs w:val="false"/>
          <w:color w:themeColor="text1" w:val="000000"/>
          <w:sz w:val="24"/>
          <w:szCs w:val="24"/>
          <w:lang w:val="sr-RS"/>
        </w:rPr>
      </w:pPr>
      <w:r>
        <w:rPr>
          <w:rStyle w:val="Strong"/>
          <w:rFonts w:cs="Times New Roman" w:ascii="Times New Roman" w:hAnsi="Times New Roman"/>
          <w:color w:themeColor="text1" w:val="000000"/>
          <w:sz w:val="24"/>
          <w:szCs w:val="24"/>
          <w:lang w:val="sr-RS"/>
        </w:rPr>
        <w:t>АНАЛИЗА ПРИМАРНИХ ПОДАТАКА прикупљених од општине Беочин</w:t>
      </w:r>
    </w:p>
    <w:p>
      <w:pPr>
        <w:pStyle w:val="Heading2"/>
        <w:spacing w:before="280" w:after="280"/>
        <w:rPr>
          <w:color w:themeColor="text1" w:val="000000"/>
          <w:sz w:val="24"/>
          <w:szCs w:val="24"/>
          <w:lang w:val="sr-RS"/>
        </w:rPr>
      </w:pPr>
      <w:r>
        <w:rPr>
          <w:rStyle w:val="Strong"/>
          <w:b/>
          <w:bCs/>
          <w:color w:themeColor="text1" w:val="000000"/>
          <w:sz w:val="24"/>
          <w:szCs w:val="24"/>
          <w:lang w:val="sr-RS"/>
        </w:rPr>
        <w:t xml:space="preserve">8.1.1 Старосна структура </w:t>
      </w:r>
    </w:p>
    <w:p>
      <w:pPr>
        <w:pStyle w:val="NormalWeb"/>
        <w:spacing w:before="280" w:after="280"/>
        <w:jc w:val="both"/>
        <w:rPr>
          <w:lang w:val="sr-RS"/>
        </w:rPr>
      </w:pPr>
      <w:r>
        <w:rPr>
          <w:color w:themeColor="text1" w:val="000000"/>
          <w:lang w:val="sr-RS"/>
        </w:rPr>
        <w:t>Старосна структура становништва општине Беочин показује изражену доминацију старијих животних група и постепено смањивање удела младих. Ови обрасци у потпуности су у складу са ширим демографским тенденцијама у АП Војводини и Србији, где се већ дужи низ година бележи процес демографског старења, снижавање фертилитета и одлив младог становништва ка већим урбаним центрима. Подаци указују да је сегмент становништва старији од 50 година значајно бројнији од свих млађих узрасних категорија, што има директан утицај на демографску стабилност, радну активност и будућу одрживост локалних услуга.</w:t>
      </w:r>
    </w:p>
    <w:p>
      <w:pPr>
        <w:pStyle w:val="NormalWeb"/>
        <w:spacing w:before="280" w:after="280"/>
        <w:jc w:val="both"/>
        <w:rPr>
          <w:lang w:val="sr-RS"/>
        </w:rPr>
      </w:pPr>
      <w:r>
        <w:rPr>
          <w:color w:themeColor="text1" w:val="000000"/>
          <w:lang w:val="sr-RS"/>
        </w:rPr>
        <w:t>Најбројнија група становника припада узрасту од 60 до 69 година (2.284 лица), док категорије старије од 70 година (1.859 становника укупно) чине изразито велики део популације. Ови подаци јасно указују на већ започет процес дубинског старења становништва, у коме расте број лица у трећем животном добу, док се истовремено смањује број радно активних и младих генерација. Последице овог тренда биће видљиве у наредним годинама кроз повећане потребе за здравственом заштитом, кућном негом, услугама дуготрајне неге, социјалном подршком, превентивним здравственим програмима и развојем услуга у заједници за старије.</w:t>
      </w:r>
    </w:p>
    <w:p>
      <w:pPr>
        <w:pStyle w:val="NormalWeb"/>
        <w:spacing w:before="280" w:after="280"/>
        <w:jc w:val="both"/>
        <w:rPr>
          <w:lang w:val="sr-RS"/>
        </w:rPr>
      </w:pPr>
      <w:r>
        <w:rPr>
          <w:color w:themeColor="text1" w:val="000000"/>
          <w:lang w:val="sr-RS"/>
        </w:rPr>
        <w:t>Иако број деце и младих (узраст 0–19 година: 2.816) још увек представља значајан демографски ресурс, њихов удео у укупној популацији има опадајући тренд. Уз то, структура у оквиру младих старосних група указује на потенцијални проблем: категорија 20–29 година мања је од генерација предшколског и основношколског узраста, што упућује на изражен одлив младих након завршетка средње школе или факултета. Овај образац је типичан за општине у близини већих градова и показује да се млади често образују и запошљавају ван локалне средине, што значајно утиче на дугорочну старосну структуру, радни потенцијал и одрживост мера популационе политике.</w:t>
      </w:r>
    </w:p>
    <w:p>
      <w:pPr>
        <w:pStyle w:val="NormalWeb"/>
        <w:spacing w:before="280" w:after="280"/>
        <w:rPr>
          <w:color w:themeColor="text1" w:val="000000"/>
          <w:lang w:val="sr-RS"/>
        </w:rPr>
      </w:pPr>
      <w:r>
        <w:rPr>
          <w:color w:themeColor="text1" w:val="000000"/>
          <w:lang w:val="sr-RS"/>
        </w:rPr>
        <w:t xml:space="preserve">У целини гледано, старосна структура </w:t>
      </w:r>
      <w:r>
        <w:rPr>
          <w:color w:val="000000"/>
          <w:lang w:val="sr-RS"/>
        </w:rPr>
        <w:t>општин</w:t>
      </w:r>
      <w:r>
        <w:rPr>
          <w:color w:val="000000"/>
          <w:lang w:val="sr-Latn-RS"/>
        </w:rPr>
        <w:t>e</w:t>
      </w:r>
      <w:r>
        <w:rPr>
          <w:color w:val="000000"/>
          <w:lang w:val="sr-RS"/>
        </w:rPr>
        <w:t xml:space="preserve"> Беочин </w:t>
      </w:r>
      <w:r>
        <w:rPr>
          <w:color w:themeColor="text1" w:val="000000"/>
          <w:lang w:val="sr-RS"/>
        </w:rPr>
        <w:t xml:space="preserve">указује на потребу за системским приступом у осмишљавању мера подршке младима, породицама са децом и старијим лицима, као и на значај дугорочног планирања услуга које морају да прате промене у демографској структури </w:t>
      </w:r>
    </w:p>
    <w:tbl>
      <w:tblPr>
        <w:tblStyle w:val="GridTable4-Accent1"/>
        <w:tblW w:w="5045"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451"/>
        <w:gridCol w:w="2593"/>
      </w:tblGrid>
      <w:tr>
        <w:trPr>
          <w:trHeight w:val="311" w:hRule="atLeast"/>
          <w:cnfStyle w:val="100000000000" w:firstRow="1" w:lastRow="0" w:firstColumn="0" w:lastColumn="0" w:oddVBand="0" w:evenVBand="0" w:oddHBand="0" w:evenHBand="0" w:firstRowFirstColumn="0" w:firstRowLastColumn="0" w:lastRowFirstColumn="0" w:lastRowLastColumn="0"/>
        </w:trPr>
        <w:tc>
          <w:tcPr>
            <w:tcW w:w="2451"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b w:val="false"/>
                <w:bCs w:val="false"/>
                <w:color w:themeColor="text1" w:val="000000"/>
                <w:lang w:val="sr-RS"/>
              </w:rPr>
            </w:pPr>
            <w:r>
              <w:rPr>
                <w:b/>
                <w:bCs/>
                <w:color w:themeColor="text1" w:val="000000"/>
                <w:sz w:val="24"/>
                <w:szCs w:val="24"/>
                <w:lang w:val="sr-RS" w:bidi="ar-SA"/>
              </w:rPr>
              <w:t>Старосна група</w:t>
            </w:r>
          </w:p>
        </w:tc>
        <w:tc>
          <w:tcPr>
            <w:tcW w:w="2593"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b w:val="false"/>
                <w:bCs w:val="false"/>
                <w:color w:themeColor="text1" w:val="000000"/>
                <w:lang w:val="sr-RS"/>
              </w:rPr>
            </w:pPr>
            <w:r>
              <w:rPr>
                <w:b/>
                <w:bCs/>
                <w:color w:themeColor="text1" w:val="000000"/>
                <w:sz w:val="24"/>
                <w:szCs w:val="24"/>
                <w:lang w:val="sr-RS" w:bidi="ar-SA"/>
              </w:rPr>
              <w:t>Број становника</w:t>
            </w:r>
          </w:p>
        </w:tc>
      </w:tr>
      <w:tr>
        <w:trPr>
          <w:trHeight w:val="311" w:hRule="atLeast"/>
          <w:cnfStyle w:val="000000100000" w:firstRow="0" w:lastRow="0" w:firstColumn="0" w:lastColumn="0" w:oddVBand="0" w:evenVBand="0" w:oddHBand="1" w:evenHBand="0" w:firstRowFirstColumn="0" w:firstRowLastColumn="0" w:lastRowFirstColumn="0" w:lastRowLastColumn="0"/>
        </w:trPr>
        <w:tc>
          <w:tcPr>
            <w:tcW w:w="2451"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0–9</w:t>
            </w:r>
          </w:p>
        </w:tc>
        <w:tc>
          <w:tcPr>
            <w:tcW w:w="2593"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1.352</w:t>
            </w:r>
          </w:p>
        </w:tc>
      </w:tr>
      <w:tr>
        <w:trPr>
          <w:trHeight w:val="311" w:hRule="atLeast"/>
        </w:trPr>
        <w:tc>
          <w:tcPr>
            <w:tcW w:w="245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10–19</w:t>
            </w:r>
          </w:p>
        </w:tc>
        <w:tc>
          <w:tcPr>
            <w:tcW w:w="2593"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1.464</w:t>
            </w:r>
          </w:p>
        </w:tc>
      </w:tr>
      <w:tr>
        <w:trPr>
          <w:trHeight w:val="311" w:hRule="atLeast"/>
          <w:cnfStyle w:val="000000100000" w:firstRow="0" w:lastRow="0" w:firstColumn="0" w:lastColumn="0" w:oddVBand="0" w:evenVBand="0" w:oddHBand="1" w:evenHBand="0" w:firstRowFirstColumn="0" w:firstRowLastColumn="0" w:lastRowFirstColumn="0" w:lastRowLastColumn="0"/>
        </w:trPr>
        <w:tc>
          <w:tcPr>
            <w:tcW w:w="2451"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20–29</w:t>
            </w:r>
          </w:p>
        </w:tc>
        <w:tc>
          <w:tcPr>
            <w:tcW w:w="2593"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1.442</w:t>
            </w:r>
          </w:p>
        </w:tc>
      </w:tr>
      <w:tr>
        <w:trPr>
          <w:trHeight w:val="326" w:hRule="atLeast"/>
        </w:trPr>
        <w:tc>
          <w:tcPr>
            <w:tcW w:w="245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30–39</w:t>
            </w:r>
          </w:p>
        </w:tc>
        <w:tc>
          <w:tcPr>
            <w:tcW w:w="2593"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1.586</w:t>
            </w:r>
          </w:p>
        </w:tc>
      </w:tr>
      <w:tr>
        <w:trPr>
          <w:trHeight w:val="311" w:hRule="atLeast"/>
          <w:cnfStyle w:val="000000100000" w:firstRow="0" w:lastRow="0" w:firstColumn="0" w:lastColumn="0" w:oddVBand="0" w:evenVBand="0" w:oddHBand="1" w:evenHBand="0" w:firstRowFirstColumn="0" w:firstRowLastColumn="0" w:lastRowFirstColumn="0" w:lastRowLastColumn="0"/>
        </w:trPr>
        <w:tc>
          <w:tcPr>
            <w:tcW w:w="2451"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40–49</w:t>
            </w:r>
          </w:p>
        </w:tc>
        <w:tc>
          <w:tcPr>
            <w:tcW w:w="2593"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1.824</w:t>
            </w:r>
          </w:p>
        </w:tc>
      </w:tr>
      <w:tr>
        <w:trPr>
          <w:trHeight w:val="311" w:hRule="atLeast"/>
        </w:trPr>
        <w:tc>
          <w:tcPr>
            <w:tcW w:w="245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50–59</w:t>
            </w:r>
          </w:p>
        </w:tc>
        <w:tc>
          <w:tcPr>
            <w:tcW w:w="2593"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2.094</w:t>
            </w:r>
          </w:p>
        </w:tc>
      </w:tr>
      <w:tr>
        <w:trPr>
          <w:trHeight w:val="311" w:hRule="atLeast"/>
          <w:cnfStyle w:val="000000100000" w:firstRow="0" w:lastRow="0" w:firstColumn="0" w:lastColumn="0" w:oddVBand="0" w:evenVBand="0" w:oddHBand="1" w:evenHBand="0" w:firstRowFirstColumn="0" w:firstRowLastColumn="0" w:lastRowFirstColumn="0" w:lastRowLastColumn="0"/>
        </w:trPr>
        <w:tc>
          <w:tcPr>
            <w:tcW w:w="2451"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60–69</w:t>
            </w:r>
          </w:p>
        </w:tc>
        <w:tc>
          <w:tcPr>
            <w:tcW w:w="2593"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2.284</w:t>
            </w:r>
          </w:p>
        </w:tc>
      </w:tr>
      <w:tr>
        <w:trPr>
          <w:trHeight w:val="311" w:hRule="atLeast"/>
        </w:trPr>
        <w:tc>
          <w:tcPr>
            <w:tcW w:w="245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70–79</w:t>
            </w:r>
          </w:p>
        </w:tc>
        <w:tc>
          <w:tcPr>
            <w:tcW w:w="2593"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1.313</w:t>
            </w:r>
          </w:p>
        </w:tc>
      </w:tr>
      <w:tr>
        <w:trPr>
          <w:trHeight w:val="311" w:hRule="atLeast"/>
          <w:cnfStyle w:val="000000100000" w:firstRow="0" w:lastRow="0" w:firstColumn="0" w:lastColumn="0" w:oddVBand="0" w:evenVBand="0" w:oddHBand="1" w:evenHBand="0" w:firstRowFirstColumn="0" w:firstRowLastColumn="0" w:lastRowFirstColumn="0" w:lastRowLastColumn="0"/>
        </w:trPr>
        <w:tc>
          <w:tcPr>
            <w:tcW w:w="2451"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80+</w:t>
            </w:r>
          </w:p>
        </w:tc>
        <w:tc>
          <w:tcPr>
            <w:tcW w:w="2593"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546</w:t>
            </w:r>
          </w:p>
        </w:tc>
      </w:tr>
      <w:tr>
        <w:trPr>
          <w:trHeight w:val="311" w:hRule="atLeast"/>
        </w:trPr>
        <w:tc>
          <w:tcPr>
            <w:tcW w:w="2451"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Укупно</w:t>
            </w:r>
          </w:p>
        </w:tc>
        <w:tc>
          <w:tcPr>
            <w:tcW w:w="2593"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rStyle w:val="Strong"/>
                <w:color w:themeColor="text1" w:val="000000"/>
                <w:sz w:val="24"/>
                <w:szCs w:val="24"/>
                <w:lang w:val="sr-RS" w:bidi="ar-SA"/>
              </w:rPr>
              <w:t>13.905</w:t>
            </w:r>
            <w:r>
              <w:rPr>
                <w:color w:themeColor="text1" w:val="000000"/>
                <w:sz w:val="24"/>
                <w:szCs w:val="24"/>
                <w:lang w:val="sr-RS" w:bidi="ar-SA"/>
              </w:rPr>
              <w:t>*</w:t>
            </w:r>
          </w:p>
        </w:tc>
      </w:tr>
    </w:tbl>
    <w:p>
      <w:pPr>
        <w:pStyle w:val="NormalWeb"/>
        <w:spacing w:before="280" w:after="280"/>
        <w:rPr>
          <w:color w:themeColor="text1" w:val="000000"/>
          <w:lang w:val="sr-RS"/>
        </w:rPr>
      </w:pPr>
      <w:r>
        <w:rPr>
          <w:color w:themeColor="text1" w:val="000000"/>
          <w:lang w:val="sr-RS"/>
        </w:rPr>
        <w:t>*Могућа мала одступања због заокруживања и начина извештавања.</w:t>
      </w:r>
    </w:p>
    <w:p>
      <w:pPr>
        <w:pStyle w:val="Normal"/>
        <w:rPr>
          <w:color w:themeColor="text1" w:val="000000"/>
          <w:lang w:val="sr-RS"/>
        </w:rPr>
      </w:pPr>
      <w:r>
        <w:rPr/>
        <w:drawing>
          <wp:inline distT="0" distB="0" distL="0" distR="0">
            <wp:extent cx="5866765" cy="4091940"/>
            <wp:effectExtent l="0" t="0" r="0" b="0"/>
            <wp:docPr id="4" name="Object1"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pPr>
        <w:pStyle w:val="Normal"/>
        <w:rPr>
          <w:color w:themeColor="text1" w:val="000000"/>
          <w:lang w:val="sr-RS"/>
        </w:rPr>
      </w:pPr>
      <w:r>
        <w:rPr>
          <w:color w:themeColor="text1" w:val="000000"/>
          <w:lang w:val="sr-RS"/>
        </w:rPr>
      </w:r>
    </w:p>
    <w:p>
      <w:pPr>
        <w:pStyle w:val="Heading2"/>
        <w:spacing w:before="280" w:after="280"/>
        <w:rPr>
          <w:color w:themeColor="text1" w:val="000000"/>
          <w:sz w:val="24"/>
          <w:szCs w:val="24"/>
          <w:lang w:val="sr-RS"/>
        </w:rPr>
      </w:pPr>
      <w:r>
        <w:rPr>
          <w:color w:themeColor="text1" w:val="000000"/>
          <w:sz w:val="24"/>
          <w:szCs w:val="24"/>
          <w:lang w:val="sr-RS"/>
        </w:rPr>
        <w:t xml:space="preserve">8.1.2 </w:t>
      </w:r>
      <w:r>
        <w:rPr>
          <w:rStyle w:val="Strong"/>
          <w:b/>
          <w:bCs/>
          <w:color w:themeColor="text1" w:val="000000"/>
          <w:sz w:val="24"/>
          <w:szCs w:val="24"/>
          <w:lang w:val="sr-RS"/>
        </w:rPr>
        <w:t xml:space="preserve">Наталитет и морталитет </w:t>
      </w:r>
    </w:p>
    <w:p>
      <w:pPr>
        <w:pStyle w:val="NormalWeb"/>
        <w:spacing w:before="280" w:after="280"/>
        <w:jc w:val="both"/>
        <w:rPr>
          <w:lang w:val="sr-RS"/>
        </w:rPr>
      </w:pPr>
      <w:r>
        <w:rPr>
          <w:color w:themeColor="text1" w:val="000000"/>
          <w:lang w:val="sr-RS"/>
        </w:rPr>
        <w:t>Подаци указују да је у општини Беочин у претходних пет година рођено 542 деце, док је преминуло 449 лица. Укупно гледано, то је позитиван природни прираштај у петогодишњем периоду (+93). Ипак, овај податак не одражава целокупну демографску слику, јер структура становништва показује да је удео младих жена у репродуктивном добу ограничен, а одлив младих породица у урбане центре је константан.</w:t>
      </w:r>
    </w:p>
    <w:p>
      <w:pPr>
        <w:pStyle w:val="NormalWeb"/>
        <w:spacing w:before="280" w:after="280"/>
        <w:jc w:val="both"/>
        <w:rPr>
          <w:lang w:val="sr-RS"/>
        </w:rPr>
      </w:pPr>
      <w:r>
        <w:rPr>
          <w:color w:themeColor="text1" w:val="000000"/>
          <w:lang w:val="sr-RS"/>
        </w:rPr>
        <w:t>Број породица у систему Центра за социјални рад које примају дечји додатак (141 породица) такође указује на економску осетљивост дела популације са децом.</w:t>
      </w:r>
    </w:p>
    <w:p>
      <w:pPr>
        <w:pStyle w:val="NormalWeb"/>
        <w:spacing w:before="280" w:after="280"/>
        <w:jc w:val="both"/>
        <w:rPr>
          <w:lang w:val="sr-RS"/>
        </w:rPr>
      </w:pPr>
      <w:r>
        <w:rPr>
          <w:color w:themeColor="text1" w:val="000000"/>
          <w:lang w:val="sr-RS"/>
        </w:rPr>
        <w:t>Број склопљених бракова (235 годишње) релативно је висок у односу на величину општине, али висока стопа развода (107 годишње) упућује на нестабилност дела породичних структура, што може имати утицај на планирање мера подршке родитељима, самохраним родитељима и деци.</w:t>
      </w:r>
    </w:p>
    <w:p>
      <w:pPr>
        <w:pStyle w:val="Heading3"/>
        <w:rPr>
          <w:rFonts w:ascii="Times New Roman" w:hAnsi="Times New Roman" w:cs="Times New Roman"/>
          <w:color w:themeColor="text1" w:val="000000"/>
          <w:lang w:val="sr-RS"/>
        </w:rPr>
      </w:pPr>
      <w:r>
        <w:rPr/>
      </w:r>
    </w:p>
    <w:p>
      <w:pPr>
        <w:pStyle w:val="Heading3"/>
        <w:rPr>
          <w:rFonts w:ascii="Times New Roman" w:hAnsi="Times New Roman" w:cs="Times New Roman"/>
          <w:color w:themeColor="text1" w:val="000000"/>
          <w:lang w:val="sr-RS"/>
        </w:rPr>
      </w:pPr>
      <w:r>
        <w:rPr>
          <w:rStyle w:val="Strong"/>
          <w:rFonts w:cs="Times New Roman" w:ascii="Times New Roman" w:hAnsi="Times New Roman"/>
          <w:b w:val="false"/>
          <w:bCs w:val="false"/>
          <w:color w:themeColor="text1" w:val="000000"/>
          <w:lang w:val="sr-RS"/>
        </w:rPr>
        <w:t>Табела 2. Наталитет и морталитет у петогодишњем периоду</w:t>
      </w:r>
    </w:p>
    <w:tbl>
      <w:tblPr>
        <w:tblStyle w:val="GridTable4-Accent1"/>
        <w:tblW w:w="4951"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3802"/>
        <w:gridCol w:w="1148"/>
      </w:tblGrid>
      <w:tr>
        <w:trPr>
          <w:trHeight w:val="316" w:hRule="atLeast"/>
          <w:cnfStyle w:val="100000000000" w:firstRow="1" w:lastRow="0" w:firstColumn="0" w:lastColumn="0" w:oddVBand="0" w:evenVBand="0" w:oddHBand="0" w:evenHBand="0" w:firstRowFirstColumn="0" w:firstRowLastColumn="0" w:lastRowFirstColumn="0" w:lastRowLastColumn="0"/>
        </w:trPr>
        <w:tc>
          <w:tcPr>
            <w:tcW w:w="3802"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color w:themeColor="text1" w:val="000000"/>
                <w:lang w:val="sr-RS"/>
              </w:rPr>
            </w:pPr>
            <w:r>
              <w:rPr>
                <w:b w:val="false"/>
                <w:bCs w:val="false"/>
                <w:color w:themeColor="text1" w:val="000000"/>
                <w:sz w:val="24"/>
                <w:szCs w:val="24"/>
                <w:lang w:val="sr-RS" w:bidi="ar-SA"/>
              </w:rPr>
              <w:t>Показатељ</w:t>
            </w:r>
          </w:p>
        </w:tc>
        <w:tc>
          <w:tcPr>
            <w:tcW w:w="1148"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b w:val="false"/>
                <w:bCs w:val="false"/>
                <w:color w:themeColor="text1" w:val="000000"/>
                <w:lang w:val="sr-RS"/>
              </w:rPr>
            </w:pPr>
            <w:r>
              <w:rPr>
                <w:b w:val="false"/>
                <w:bCs w:val="false"/>
                <w:color w:themeColor="text1" w:val="000000"/>
                <w:sz w:val="24"/>
                <w:szCs w:val="24"/>
                <w:lang w:val="sr-RS" w:bidi="ar-SA"/>
              </w:rPr>
              <w:t>Број</w:t>
            </w:r>
          </w:p>
        </w:tc>
      </w:tr>
      <w:tr>
        <w:trPr>
          <w:trHeight w:val="316" w:hRule="atLeast"/>
          <w:cnfStyle w:val="000000100000" w:firstRow="0" w:lastRow="0" w:firstColumn="0" w:lastColumn="0" w:oddVBand="0" w:evenVBand="0" w:oddHBand="1" w:evenHBand="0" w:firstRowFirstColumn="0" w:firstRowLastColumn="0" w:lastRowFirstColumn="0" w:lastRowLastColumn="0"/>
        </w:trPr>
        <w:tc>
          <w:tcPr>
            <w:tcW w:w="3802"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b w:val="false"/>
                <w:bCs w:val="false"/>
                <w:color w:themeColor="text1" w:val="000000"/>
                <w:lang w:val="sr-RS"/>
              </w:rPr>
            </w:pPr>
            <w:r>
              <w:rPr>
                <w:b/>
                <w:bCs/>
                <w:color w:themeColor="text1" w:val="000000"/>
                <w:sz w:val="24"/>
                <w:szCs w:val="24"/>
                <w:lang w:val="sr-RS" w:bidi="ar-SA"/>
              </w:rPr>
              <w:t>Укупно рођених (5 година)</w:t>
            </w:r>
          </w:p>
        </w:tc>
        <w:tc>
          <w:tcPr>
            <w:tcW w:w="1148"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542</w:t>
            </w:r>
          </w:p>
        </w:tc>
      </w:tr>
      <w:tr>
        <w:trPr>
          <w:trHeight w:val="332" w:hRule="atLeast"/>
        </w:trPr>
        <w:tc>
          <w:tcPr>
            <w:tcW w:w="3802"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Укупно умрлих (5 година)</w:t>
            </w:r>
          </w:p>
        </w:tc>
        <w:tc>
          <w:tcPr>
            <w:tcW w:w="1148"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449</w:t>
            </w:r>
          </w:p>
        </w:tc>
      </w:tr>
      <w:tr>
        <w:trPr>
          <w:trHeight w:val="316" w:hRule="atLeast"/>
          <w:cnfStyle w:val="000000100000" w:firstRow="0" w:lastRow="0" w:firstColumn="0" w:lastColumn="0" w:oddVBand="0" w:evenVBand="0" w:oddHBand="1" w:evenHBand="0" w:firstRowFirstColumn="0" w:firstRowLastColumn="0" w:lastRowFirstColumn="0" w:lastRowLastColumn="0"/>
        </w:trPr>
        <w:tc>
          <w:tcPr>
            <w:tcW w:w="3802"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Просек рођених годишње</w:t>
            </w:r>
          </w:p>
        </w:tc>
        <w:tc>
          <w:tcPr>
            <w:tcW w:w="1148"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108–110</w:t>
            </w:r>
          </w:p>
        </w:tc>
      </w:tr>
      <w:tr>
        <w:trPr>
          <w:trHeight w:val="316" w:hRule="atLeast"/>
        </w:trPr>
        <w:tc>
          <w:tcPr>
            <w:tcW w:w="3802"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Просек умрлих годишње</w:t>
            </w:r>
          </w:p>
        </w:tc>
        <w:tc>
          <w:tcPr>
            <w:tcW w:w="1148"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89–90</w:t>
            </w:r>
          </w:p>
        </w:tc>
      </w:tr>
      <w:tr>
        <w:trPr>
          <w:trHeight w:val="316" w:hRule="atLeast"/>
          <w:cnfStyle w:val="000000100000" w:firstRow="0" w:lastRow="0" w:firstColumn="0" w:lastColumn="0" w:oddVBand="0" w:evenVBand="0" w:oddHBand="1" w:evenHBand="0" w:firstRowFirstColumn="0" w:firstRowLastColumn="0" w:lastRowFirstColumn="0" w:lastRowLastColumn="0"/>
        </w:trPr>
        <w:tc>
          <w:tcPr>
            <w:tcW w:w="3802"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Склопљени бракови годишње</w:t>
            </w:r>
          </w:p>
        </w:tc>
        <w:tc>
          <w:tcPr>
            <w:tcW w:w="1148"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235</w:t>
            </w:r>
          </w:p>
        </w:tc>
      </w:tr>
      <w:tr>
        <w:trPr>
          <w:trHeight w:val="332" w:hRule="atLeast"/>
        </w:trPr>
        <w:tc>
          <w:tcPr>
            <w:tcW w:w="3802"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Разведени бракови годишње</w:t>
            </w:r>
          </w:p>
        </w:tc>
        <w:tc>
          <w:tcPr>
            <w:tcW w:w="1148"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107</w:t>
            </w:r>
          </w:p>
        </w:tc>
      </w:tr>
      <w:tr>
        <w:trPr>
          <w:trHeight w:val="316" w:hRule="atLeast"/>
          <w:cnfStyle w:val="000000100000" w:firstRow="0" w:lastRow="0" w:firstColumn="0" w:lastColumn="0" w:oddVBand="0" w:evenVBand="0" w:oddHBand="1" w:evenHBand="0" w:firstRowFirstColumn="0" w:firstRowLastColumn="0" w:lastRowFirstColumn="0" w:lastRowLastColumn="0"/>
        </w:trPr>
        <w:tc>
          <w:tcPr>
            <w:tcW w:w="3802"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Породице са дечјим додатком</w:t>
            </w:r>
          </w:p>
        </w:tc>
        <w:tc>
          <w:tcPr>
            <w:tcW w:w="1148"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141</w:t>
            </w:r>
          </w:p>
        </w:tc>
      </w:tr>
    </w:tbl>
    <w:p>
      <w:pPr>
        <w:pStyle w:val="Normal"/>
        <w:rPr>
          <w:color w:themeColor="text1" w:val="000000"/>
          <w:lang w:val="sr-RS"/>
        </w:rPr>
      </w:pPr>
      <w:r>
        <w:rPr>
          <w:color w:themeColor="text1" w:val="000000"/>
          <w:lang w:val="sr-RS"/>
        </w:rPr>
      </w:r>
    </w:p>
    <w:p>
      <w:pPr>
        <w:pStyle w:val="Normal"/>
        <w:rPr>
          <w:color w:themeColor="text1" w:val="000000"/>
          <w:lang w:val="sr-RS"/>
        </w:rPr>
      </w:pPr>
      <w:r>
        <w:rPr>
          <w:color w:themeColor="text1" w:val="000000"/>
          <w:lang w:val="sr-RS"/>
        </w:rPr>
      </w:r>
    </w:p>
    <w:p>
      <w:pPr>
        <w:pStyle w:val="Normal"/>
        <w:rPr>
          <w:color w:themeColor="text1" w:val="000000"/>
          <w:lang w:val="sr-RS"/>
        </w:rPr>
      </w:pPr>
      <w:r>
        <w:rPr/>
        <w:drawing>
          <wp:inline distT="0" distB="0" distL="0" distR="0">
            <wp:extent cx="5703570" cy="3277235"/>
            <wp:effectExtent l="0" t="0" r="0" b="0"/>
            <wp:docPr id="5" name="Object2"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pPr>
        <w:pStyle w:val="Heading2"/>
        <w:spacing w:before="280" w:after="280"/>
        <w:rPr>
          <w:color w:themeColor="text1" w:val="000000"/>
          <w:sz w:val="24"/>
          <w:szCs w:val="24"/>
          <w:lang w:val="sr-RS"/>
        </w:rPr>
      </w:pPr>
      <w:r>
        <w:rPr>
          <w:rStyle w:val="Strong"/>
          <w:b/>
          <w:bCs/>
          <w:color w:themeColor="text1" w:val="000000"/>
          <w:sz w:val="24"/>
          <w:szCs w:val="24"/>
          <w:lang w:val="sr-RS"/>
        </w:rPr>
        <w:t xml:space="preserve">8.1.3 Миграције </w:t>
      </w:r>
    </w:p>
    <w:p>
      <w:pPr>
        <w:pStyle w:val="NormalWeb"/>
        <w:spacing w:before="280" w:after="280"/>
        <w:rPr>
          <w:lang w:val="sr-RS"/>
        </w:rPr>
      </w:pPr>
      <w:r>
        <w:rPr>
          <w:lang w:val="sr-RS"/>
        </w:rPr>
        <w:t>Према достављеним подацима, општина Беочин у посматраном периоду бележи позитиван миграциони биланс: доселило се 415 лица, док се 353 одселило, што значи да је укупан миграциони салдо +62. На први поглед, овај податак би могао указивати на демографски повољне токове, али детаљнија структура миграција открива значајне изазове по дугорочни демографски развој.</w:t>
      </w:r>
    </w:p>
    <w:p>
      <w:pPr>
        <w:pStyle w:val="NormalWeb"/>
        <w:spacing w:before="280" w:after="280"/>
        <w:jc w:val="both"/>
        <w:rPr>
          <w:lang w:val="sr-RS"/>
        </w:rPr>
      </w:pPr>
      <w:r>
        <w:rPr>
          <w:lang w:val="sr-RS"/>
        </w:rPr>
        <w:t>Највећи број досељених лица припада групи становника средње животне и породичне доби, који се у Беочин углавном досељавају ради повољнијих услова становања, близине Новог Сада и могућности „двоструког живота” — рада у граду и становања у мирнијој средини. Овај тренд је посебно појачан током пандемије COVID-19, када су бројни становници урбаних средина почели да трајније насељавају приградске општине, укључујући и Беочин. Иако се ова појава наставила и после пандемије, важно је напоменути да већина нових досељеника није у репродуктивном добу.</w:t>
      </w:r>
    </w:p>
    <w:p>
      <w:pPr>
        <w:pStyle w:val="NormalWeb"/>
        <w:spacing w:before="280" w:after="280"/>
        <w:jc w:val="both"/>
        <w:rPr>
          <w:lang w:val="sr-RS"/>
        </w:rPr>
      </w:pPr>
      <w:r>
        <w:rPr>
          <w:lang w:val="sr-RS"/>
        </w:rPr>
        <w:t>С друге стране, одлив младих остаје доминантан негативни миграциони процес. Млади најчешће напуштају општину након завршетка средњег образовања, одлазећи у Нови Сад или друге веће градове ради студија, запошљавања или повољнијих стамбених услова. Мали проценат њих се касније враћа, што доводи до постепеног смањења узрасних група 20–39 година — управо оних које су кључне за наталитет и одржив демографски развој.</w:t>
      </w:r>
    </w:p>
    <w:p>
      <w:pPr>
        <w:pStyle w:val="NormalWeb"/>
        <w:spacing w:before="280" w:after="280"/>
        <w:jc w:val="both"/>
        <w:rPr>
          <w:lang w:val="sr-RS"/>
        </w:rPr>
      </w:pPr>
      <w:r>
        <w:rPr>
          <w:lang w:val="sr-RS"/>
        </w:rPr>
        <w:t>Иако је укупан миграциони салдо позитиван, миграциона структура показује да Беочин „добија” становништво које је ван репродуктивног периода, а „губи” младе који чине носећу популациону групу. Управо ова диспропорција представља један од најважнијих демографских изазова општине у наредним годинама.</w:t>
      </w:r>
    </w:p>
    <w:p>
      <w:pPr>
        <w:pStyle w:val="Normal"/>
        <w:rPr>
          <w:color w:themeColor="text1" w:val="000000"/>
          <w:lang w:val="sr-RS"/>
        </w:rPr>
      </w:pPr>
      <w:r>
        <w:rPr>
          <w:color w:themeColor="text1" w:val="000000"/>
          <w:lang w:val="sr-RS"/>
        </w:rPr>
      </w:r>
    </w:p>
    <w:p>
      <w:pPr>
        <w:pStyle w:val="Normal"/>
        <w:rPr>
          <w:color w:themeColor="text1" w:val="000000"/>
          <w:lang w:val="sr-RS"/>
        </w:rPr>
      </w:pPr>
      <w:r>
        <w:rPr/>
        <w:drawing>
          <wp:inline distT="0" distB="0" distL="0" distR="0">
            <wp:extent cx="5486400" cy="3200400"/>
            <wp:effectExtent l="0" t="0" r="0" b="0"/>
            <wp:docPr id="6" name="Object3"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pStyle w:val="Heading2"/>
        <w:spacing w:before="280" w:after="280"/>
        <w:rPr>
          <w:color w:themeColor="text1" w:val="000000"/>
          <w:sz w:val="24"/>
          <w:szCs w:val="24"/>
          <w:lang w:val="sr-RS"/>
        </w:rPr>
      </w:pPr>
      <w:r>
        <w:rPr>
          <w:color w:themeColor="text1" w:val="000000"/>
          <w:sz w:val="24"/>
          <w:szCs w:val="24"/>
          <w:lang w:val="sr-RS"/>
        </w:rPr>
        <w:t xml:space="preserve">8.1.4 Породична структура и социјални показатељи </w:t>
      </w:r>
    </w:p>
    <w:p>
      <w:pPr>
        <w:pStyle w:val="Normal"/>
        <w:spacing w:beforeAutospacing="1" w:afterAutospacing="1"/>
        <w:rPr>
          <w:color w:themeColor="text1" w:val="000000"/>
          <w:lang w:val="sr-RS"/>
        </w:rPr>
      </w:pPr>
      <w:r>
        <w:rPr>
          <w:color w:themeColor="text1" w:val="000000"/>
          <w:lang w:val="sr-RS"/>
        </w:rPr>
        <w:t>Породична и социјална структура општине показује значајне разлике у типу домаћинстава и социо-економским условима. Подаци показују:</w:t>
      </w:r>
    </w:p>
    <w:p>
      <w:pPr>
        <w:pStyle w:val="Normal"/>
        <w:numPr>
          <w:ilvl w:val="0"/>
          <w:numId w:val="9"/>
        </w:numPr>
        <w:spacing w:beforeAutospacing="1" w:after="0"/>
        <w:rPr>
          <w:color w:themeColor="text1" w:val="000000"/>
          <w:lang w:val="sr-RS"/>
        </w:rPr>
      </w:pPr>
      <w:r>
        <w:rPr>
          <w:color w:themeColor="text1" w:val="000000"/>
          <w:lang w:val="sr-RS"/>
        </w:rPr>
        <w:t>велики број самоорганизујућих домаћинстава,</w:t>
      </w:r>
    </w:p>
    <w:p>
      <w:pPr>
        <w:pStyle w:val="Normal"/>
        <w:numPr>
          <w:ilvl w:val="0"/>
          <w:numId w:val="9"/>
        </w:numPr>
        <w:spacing w:before="0" w:after="0"/>
        <w:rPr>
          <w:color w:themeColor="text1" w:val="000000"/>
          <w:lang w:val="sr-RS"/>
        </w:rPr>
      </w:pPr>
      <w:r>
        <w:rPr>
          <w:color w:themeColor="text1" w:val="000000"/>
          <w:lang w:val="sr-RS"/>
        </w:rPr>
        <w:t>висок број једнородитељских породица (812),</w:t>
      </w:r>
    </w:p>
    <w:p>
      <w:pPr>
        <w:pStyle w:val="Normal"/>
        <w:numPr>
          <w:ilvl w:val="0"/>
          <w:numId w:val="9"/>
        </w:numPr>
        <w:rPr>
          <w:color w:themeColor="text1" w:val="000000"/>
          <w:lang w:val="sr-RS"/>
        </w:rPr>
      </w:pPr>
      <w:r>
        <w:rPr>
          <w:color w:themeColor="text1" w:val="000000"/>
          <w:lang w:val="sr-RS"/>
        </w:rPr>
        <w:t>значајан број младих који живе са родитељима (520),</w:t>
      </w:r>
    </w:p>
    <w:p>
      <w:pPr>
        <w:pStyle w:val="Normal"/>
        <w:numPr>
          <w:ilvl w:val="0"/>
          <w:numId w:val="9"/>
        </w:numPr>
        <w:rPr>
          <w:color w:themeColor="text1" w:val="000000"/>
          <w:lang w:val="sr-RS"/>
        </w:rPr>
      </w:pPr>
      <w:r>
        <w:rPr>
          <w:color w:themeColor="text1" w:val="000000"/>
          <w:lang w:val="sr-RS"/>
        </w:rPr>
        <w:t>велики број породица са троје и више деце (254),</w:t>
      </w:r>
    </w:p>
    <w:p>
      <w:pPr>
        <w:pStyle w:val="Normal"/>
        <w:numPr>
          <w:ilvl w:val="0"/>
          <w:numId w:val="9"/>
        </w:numPr>
        <w:spacing w:before="0" w:afterAutospacing="1"/>
        <w:rPr>
          <w:color w:themeColor="text1" w:val="000000"/>
          <w:lang w:val="sr-RS"/>
        </w:rPr>
      </w:pPr>
      <w:r>
        <w:rPr>
          <w:color w:themeColor="text1" w:val="000000"/>
          <w:lang w:val="sr-RS"/>
        </w:rPr>
        <w:t>150 породица и 339 појединаца као кориснике социјалне помоћи.</w:t>
      </w:r>
    </w:p>
    <w:p>
      <w:pPr>
        <w:pStyle w:val="Normal"/>
        <w:spacing w:beforeAutospacing="1" w:afterAutospacing="1"/>
        <w:rPr>
          <w:color w:themeColor="text1" w:val="000000"/>
          <w:lang w:val="sr-RS"/>
        </w:rPr>
      </w:pPr>
      <w:r>
        <w:rPr>
          <w:color w:themeColor="text1" w:val="000000"/>
          <w:lang w:val="sr-RS"/>
        </w:rPr>
        <w:t>Ово указује да је потреба за мерама социјалне и економске подршке становништву висока, уз посебан фокус на рањиве групе, младе породице и старије у руралним деловима.</w:t>
      </w:r>
    </w:p>
    <w:p>
      <w:pPr>
        <w:pStyle w:val="Normal"/>
        <w:numPr>
          <w:ilvl w:val="0"/>
          <w:numId w:val="0"/>
        </w:numPr>
        <w:spacing w:beforeAutospacing="1" w:afterAutospacing="1"/>
        <w:ind w:hanging="0" w:left="0"/>
        <w:outlineLvl w:val="2"/>
        <w:rPr>
          <w:color w:themeColor="text1" w:val="000000"/>
          <w:lang w:val="sr-RS"/>
        </w:rPr>
      </w:pPr>
      <w:r>
        <w:rPr/>
      </w:r>
    </w:p>
    <w:p>
      <w:pPr>
        <w:pStyle w:val="Normal"/>
        <w:numPr>
          <w:ilvl w:val="0"/>
          <w:numId w:val="0"/>
        </w:numPr>
        <w:spacing w:beforeAutospacing="1" w:afterAutospacing="1"/>
        <w:ind w:hanging="0" w:left="0"/>
        <w:outlineLvl w:val="2"/>
        <w:rPr>
          <w:color w:themeColor="text1" w:val="000000"/>
          <w:lang w:val="sr-RS"/>
        </w:rPr>
      </w:pPr>
      <w:r>
        <w:rPr>
          <w:color w:themeColor="text1" w:val="000000"/>
          <w:lang w:val="sr-RS"/>
        </w:rPr>
        <w:t>Табела 4. Породична структура и социјални статус</w:t>
      </w:r>
    </w:p>
    <w:tbl>
      <w:tblPr>
        <w:tblStyle w:val="GridTable4-Accent1"/>
        <w:tblW w:w="701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6168"/>
        <w:gridCol w:w="841"/>
      </w:tblGrid>
      <w:tr>
        <w:trPr>
          <w:trHeight w:val="390" w:hRule="atLeast"/>
          <w:cnfStyle w:val="100000000000" w:firstRow="1" w:lastRow="0" w:firstColumn="0" w:lastColumn="0" w:oddVBand="0" w:evenVBand="0" w:oddHBand="0" w:evenHBand="0" w:firstRowFirstColumn="0" w:firstRowLastColumn="0" w:lastRowFirstColumn="0" w:lastRowLastColumn="0"/>
        </w:trPr>
        <w:tc>
          <w:tcPr>
            <w:tcW w:w="6168"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color w:themeColor="text1" w:val="000000"/>
                <w:lang w:val="sr-RS"/>
              </w:rPr>
            </w:pPr>
            <w:r>
              <w:rPr>
                <w:b/>
                <w:bCs/>
                <w:color w:themeColor="text1" w:val="000000"/>
                <w:sz w:val="24"/>
                <w:szCs w:val="24"/>
                <w:lang w:val="sr-RS" w:bidi="ar-SA"/>
              </w:rPr>
              <w:t>Показатељ</w:t>
            </w:r>
          </w:p>
        </w:tc>
        <w:tc>
          <w:tcPr>
            <w:tcW w:w="841"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color w:themeColor="text1" w:val="000000"/>
                <w:lang w:val="sr-RS"/>
              </w:rPr>
            </w:pPr>
            <w:r>
              <w:rPr>
                <w:b/>
                <w:bCs/>
                <w:color w:themeColor="text1" w:val="000000"/>
                <w:sz w:val="24"/>
                <w:szCs w:val="24"/>
                <w:lang w:val="sr-RS" w:bidi="ar-SA"/>
              </w:rPr>
              <w:t>Број</w:t>
            </w:r>
          </w:p>
        </w:tc>
      </w:tr>
      <w:tr>
        <w:trPr>
          <w:trHeight w:val="390" w:hRule="atLeast"/>
          <w:cnfStyle w:val="000000100000" w:firstRow="0" w:lastRow="0" w:firstColumn="0" w:lastColumn="0" w:oddVBand="0" w:evenVBand="0" w:oddHBand="1" w:evenHBand="0" w:firstRowFirstColumn="0" w:firstRowLastColumn="0" w:lastRowFirstColumn="0" w:lastRowLastColumn="0"/>
        </w:trPr>
        <w:tc>
          <w:tcPr>
            <w:tcW w:w="6168"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Породице са троје и више деце</w:t>
            </w:r>
          </w:p>
        </w:tc>
        <w:tc>
          <w:tcPr>
            <w:tcW w:w="841"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254</w:t>
            </w:r>
          </w:p>
        </w:tc>
      </w:tr>
      <w:tr>
        <w:trPr>
          <w:trHeight w:val="390" w:hRule="atLeast"/>
        </w:trPr>
        <w:tc>
          <w:tcPr>
            <w:tcW w:w="6168"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Самохрани родитељи</w:t>
            </w:r>
          </w:p>
        </w:tc>
        <w:tc>
          <w:tcPr>
            <w:tcW w:w="841"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812</w:t>
            </w:r>
          </w:p>
        </w:tc>
      </w:tr>
      <w:tr>
        <w:trPr>
          <w:trHeight w:val="390" w:hRule="atLeast"/>
          <w:cnfStyle w:val="000000100000" w:firstRow="0" w:lastRow="0" w:firstColumn="0" w:lastColumn="0" w:oddVBand="0" w:evenVBand="0" w:oddHBand="1" w:evenHBand="0" w:firstRowFirstColumn="0" w:firstRowLastColumn="0" w:lastRowFirstColumn="0" w:lastRowLastColumn="0"/>
        </w:trPr>
        <w:tc>
          <w:tcPr>
            <w:tcW w:w="6168"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Млади до 35 година који живе са родитељима</w:t>
            </w:r>
          </w:p>
        </w:tc>
        <w:tc>
          <w:tcPr>
            <w:tcW w:w="841"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520</w:t>
            </w:r>
          </w:p>
        </w:tc>
      </w:tr>
      <w:tr>
        <w:trPr>
          <w:trHeight w:val="390" w:hRule="atLeast"/>
        </w:trPr>
        <w:tc>
          <w:tcPr>
            <w:tcW w:w="6168"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Породице — корисници социјалне помоћи</w:t>
            </w:r>
          </w:p>
        </w:tc>
        <w:tc>
          <w:tcPr>
            <w:tcW w:w="841"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150</w:t>
            </w:r>
          </w:p>
        </w:tc>
      </w:tr>
      <w:tr>
        <w:trPr>
          <w:trHeight w:val="390" w:hRule="atLeast"/>
          <w:cnfStyle w:val="000000100000" w:firstRow="0" w:lastRow="0" w:firstColumn="0" w:lastColumn="0" w:oddVBand="0" w:evenVBand="0" w:oddHBand="1" w:evenHBand="0" w:firstRowFirstColumn="0" w:firstRowLastColumn="0" w:lastRowFirstColumn="0" w:lastRowLastColumn="0"/>
        </w:trPr>
        <w:tc>
          <w:tcPr>
            <w:tcW w:w="6168"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Појединци — корисници социјалне помоћи</w:t>
            </w:r>
          </w:p>
        </w:tc>
        <w:tc>
          <w:tcPr>
            <w:tcW w:w="841"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339</w:t>
            </w:r>
          </w:p>
        </w:tc>
      </w:tr>
    </w:tbl>
    <w:p>
      <w:pPr>
        <w:pStyle w:val="Normal"/>
        <w:rPr>
          <w:color w:themeColor="text1" w:val="000000"/>
          <w:lang w:val="sr-RS"/>
        </w:rPr>
      </w:pPr>
      <w:r>
        <w:rPr>
          <w:color w:themeColor="text1" w:val="000000"/>
          <w:lang w:val="sr-RS"/>
        </w:rPr>
      </w:r>
    </w:p>
    <w:p>
      <w:pPr>
        <w:pStyle w:val="Normal"/>
        <w:rPr>
          <w:color w:themeColor="text1" w:val="000000"/>
          <w:lang w:val="sr-RS"/>
          <w14:ligatures w14:val="standardContextual"/>
        </w:rPr>
      </w:pPr>
      <w:r>
        <w:rPr/>
        <w:drawing>
          <wp:inline distT="0" distB="0" distL="0" distR="0">
            <wp:extent cx="5359400" cy="2743200"/>
            <wp:effectExtent l="0" t="0" r="0" b="0"/>
            <wp:docPr id="7" name="Object4"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pStyle w:val="Heading2"/>
        <w:spacing w:before="280" w:after="280"/>
        <w:rPr>
          <w:color w:themeColor="text1" w:val="000000"/>
          <w:sz w:val="24"/>
          <w:szCs w:val="24"/>
          <w:lang w:val="sr-RS"/>
        </w:rPr>
      </w:pPr>
      <w:r>
        <w:rPr>
          <w:color w:themeColor="text1" w:val="000000"/>
          <w:sz w:val="24"/>
          <w:szCs w:val="24"/>
          <w:lang w:val="sr-RS"/>
        </w:rPr>
        <w:t xml:space="preserve">8.1.5 </w:t>
      </w:r>
      <w:r>
        <w:rPr>
          <w:rStyle w:val="Strong"/>
          <w:b/>
          <w:bCs/>
          <w:color w:themeColor="text1" w:val="000000"/>
          <w:sz w:val="24"/>
          <w:szCs w:val="24"/>
          <w:lang w:val="sr-RS"/>
        </w:rPr>
        <w:t xml:space="preserve">Кључни демографски налази </w:t>
      </w:r>
    </w:p>
    <w:p>
      <w:pPr>
        <w:pStyle w:val="NormalWeb"/>
        <w:spacing w:before="280" w:after="280"/>
        <w:rPr>
          <w:color w:themeColor="text1" w:val="000000"/>
          <w:lang w:val="sr-RS"/>
        </w:rPr>
      </w:pPr>
      <w:r>
        <w:rPr>
          <w:color w:themeColor="text1" w:val="000000"/>
          <w:lang w:val="sr-RS"/>
        </w:rPr>
        <w:t>Подаци достављени од општине указују на неколико структурних демографских изазова:</w:t>
      </w:r>
    </w:p>
    <w:p>
      <w:pPr>
        <w:pStyle w:val="NormalWeb"/>
        <w:numPr>
          <w:ilvl w:val="0"/>
          <w:numId w:val="10"/>
        </w:numPr>
        <w:spacing w:before="280" w:after="0"/>
        <w:rPr>
          <w:color w:themeColor="text1" w:val="000000"/>
          <w:lang w:val="sr-RS"/>
        </w:rPr>
      </w:pPr>
      <w:r>
        <w:rPr>
          <w:rStyle w:val="Strong"/>
          <w:color w:themeColor="text1" w:val="000000"/>
          <w:lang w:val="sr-RS"/>
        </w:rPr>
        <w:t>Раст удела старијих група и пад удела младих.</w:t>
      </w:r>
      <w:r>
        <w:rPr>
          <w:color w:themeColor="text1" w:val="000000"/>
          <w:lang w:val="sr-RS"/>
        </w:rPr>
        <w:br/>
        <w:t>Старосна структура је све неповољнија, са најбројнијом групом 60–69.</w:t>
      </w:r>
    </w:p>
    <w:p>
      <w:pPr>
        <w:pStyle w:val="NormalWeb"/>
        <w:numPr>
          <w:ilvl w:val="0"/>
          <w:numId w:val="10"/>
        </w:numPr>
        <w:spacing w:before="0" w:after="0"/>
        <w:rPr>
          <w:color w:themeColor="text1" w:val="000000"/>
          <w:lang w:val="sr-RS"/>
        </w:rPr>
      </w:pPr>
      <w:r>
        <w:rPr>
          <w:rStyle w:val="Strong"/>
          <w:color w:themeColor="text1" w:val="000000"/>
          <w:lang w:val="sr-RS"/>
        </w:rPr>
        <w:t>Недовољан број деце у дугорочном периоду.</w:t>
      </w:r>
      <w:r>
        <w:rPr>
          <w:color w:themeColor="text1" w:val="000000"/>
          <w:lang w:val="sr-RS"/>
        </w:rPr>
        <w:br/>
        <w:t>Иако петогодишњи биланс изгледа повољно, удео младих укупно је низак и у опадању.</w:t>
      </w:r>
    </w:p>
    <w:p>
      <w:pPr>
        <w:pStyle w:val="NormalWeb"/>
        <w:numPr>
          <w:ilvl w:val="0"/>
          <w:numId w:val="10"/>
        </w:numPr>
        <w:spacing w:before="0" w:after="0"/>
        <w:rPr>
          <w:color w:themeColor="text1" w:val="000000"/>
          <w:lang w:val="sr-RS"/>
        </w:rPr>
      </w:pPr>
      <w:r>
        <w:rPr>
          <w:rStyle w:val="Strong"/>
          <w:color w:themeColor="text1" w:val="000000"/>
          <w:lang w:val="sr-RS"/>
        </w:rPr>
        <w:t>Висок број самохраних родитеља и социјално осетљивих породица.</w:t>
      </w:r>
    </w:p>
    <w:p>
      <w:pPr>
        <w:pStyle w:val="NormalWeb"/>
        <w:numPr>
          <w:ilvl w:val="0"/>
          <w:numId w:val="10"/>
        </w:numPr>
        <w:spacing w:before="0" w:after="0"/>
        <w:rPr>
          <w:color w:themeColor="text1" w:val="000000"/>
          <w:lang w:val="sr-RS"/>
        </w:rPr>
      </w:pPr>
      <w:r>
        <w:rPr>
          <w:rStyle w:val="Strong"/>
          <w:color w:themeColor="text1" w:val="000000"/>
          <w:lang w:val="sr-RS"/>
        </w:rPr>
        <w:t>Миграције младих у правцу већих градова.</w:t>
      </w:r>
    </w:p>
    <w:p>
      <w:pPr>
        <w:pStyle w:val="NormalWeb"/>
        <w:numPr>
          <w:ilvl w:val="0"/>
          <w:numId w:val="10"/>
        </w:numPr>
        <w:spacing w:before="0" w:after="0"/>
        <w:rPr>
          <w:color w:themeColor="text1" w:val="000000"/>
          <w:lang w:val="sr-RS"/>
        </w:rPr>
      </w:pPr>
      <w:r>
        <w:rPr>
          <w:rStyle w:val="Strong"/>
          <w:color w:themeColor="text1" w:val="000000"/>
          <w:lang w:val="sr-RS"/>
        </w:rPr>
        <w:t>Позитиван миграциони салдо</w:t>
      </w:r>
      <w:r>
        <w:rPr>
          <w:color w:themeColor="text1" w:val="000000"/>
          <w:lang w:val="sr-RS"/>
        </w:rPr>
        <w:t>, али са неповољним узрасним обрасцима.</w:t>
      </w:r>
    </w:p>
    <w:p>
      <w:pPr>
        <w:pStyle w:val="NormalWeb"/>
        <w:numPr>
          <w:ilvl w:val="0"/>
          <w:numId w:val="10"/>
        </w:numPr>
        <w:spacing w:before="0" w:after="0"/>
        <w:rPr>
          <w:color w:themeColor="text1" w:val="000000"/>
          <w:lang w:val="sr-RS"/>
        </w:rPr>
      </w:pPr>
      <w:r>
        <w:rPr>
          <w:rStyle w:val="Strong"/>
          <w:color w:themeColor="text1" w:val="000000"/>
          <w:lang w:val="sr-RS"/>
        </w:rPr>
        <w:t>Недовољна економска и стамбена подршка младима.</w:t>
      </w:r>
    </w:p>
    <w:p>
      <w:pPr>
        <w:pStyle w:val="NormalWeb"/>
        <w:numPr>
          <w:ilvl w:val="0"/>
          <w:numId w:val="10"/>
        </w:numPr>
        <w:spacing w:before="0" w:after="280"/>
        <w:rPr>
          <w:rStyle w:val="Strong"/>
          <w:b w:val="false"/>
          <w:bCs w:val="false"/>
          <w:color w:themeColor="text1" w:val="000000"/>
          <w:lang w:val="sr-RS"/>
        </w:rPr>
      </w:pPr>
      <w:r>
        <w:rPr>
          <w:rStyle w:val="Strong"/>
          <w:color w:themeColor="text1" w:val="000000"/>
          <w:lang w:val="sr-RS"/>
        </w:rPr>
        <w:t>Снажан демографски притисак на рурална подручја.</w:t>
      </w:r>
    </w:p>
    <w:p>
      <w:pPr>
        <w:pStyle w:val="Heading3"/>
        <w:rPr>
          <w:rStyle w:val="Strong"/>
          <w:rFonts w:ascii="Times New Roman" w:hAnsi="Times New Roman" w:cs="Times New Roman"/>
          <w:b w:val="false"/>
          <w:bCs w:val="false"/>
          <w:color w:themeColor="text1" w:val="000000"/>
          <w:lang w:val="sr-RS"/>
        </w:rPr>
      </w:pPr>
      <w:r>
        <w:rPr/>
      </w:r>
    </w:p>
    <w:p>
      <w:pPr>
        <w:pStyle w:val="Normal"/>
        <w:rPr>
          <w:rStyle w:val="Strong"/>
          <w:rFonts w:ascii="Times New Roman" w:hAnsi="Times New Roman" w:cs="Times New Roman"/>
          <w:b w:val="false"/>
          <w:bCs w:val="false"/>
          <w:color w:themeColor="text1" w:val="000000"/>
          <w:lang w:val="sr-RS"/>
        </w:rPr>
      </w:pPr>
      <w:r>
        <w:rPr/>
      </w:r>
    </w:p>
    <w:p>
      <w:pPr>
        <w:pStyle w:val="Normal"/>
        <w:rPr>
          <w:rStyle w:val="Strong"/>
          <w:rFonts w:ascii="Times New Roman" w:hAnsi="Times New Roman" w:cs="Times New Roman"/>
          <w:b w:val="false"/>
          <w:bCs w:val="false"/>
          <w:color w:themeColor="text1" w:val="000000"/>
          <w:lang w:val="sr-RS"/>
        </w:rPr>
      </w:pPr>
      <w:r>
        <w:rPr/>
      </w:r>
    </w:p>
    <w:p>
      <w:pPr>
        <w:pStyle w:val="Heading3"/>
        <w:rPr>
          <w:rStyle w:val="Strong"/>
          <w:rFonts w:ascii="Times New Roman" w:hAnsi="Times New Roman" w:cs="Times New Roman"/>
          <w:b w:val="false"/>
          <w:bCs w:val="false"/>
          <w:color w:themeColor="text1" w:val="000000"/>
          <w:lang w:val="sr-RS"/>
        </w:rPr>
      </w:pPr>
      <w:r>
        <w:rPr>
          <w:rStyle w:val="Strong"/>
          <w:rFonts w:cs="Times New Roman" w:ascii="Times New Roman" w:hAnsi="Times New Roman"/>
          <w:b w:val="false"/>
          <w:bCs w:val="false"/>
          <w:color w:themeColor="text1" w:val="000000"/>
          <w:lang w:val="sr-RS"/>
        </w:rPr>
        <w:t>Табела 5. Сажетак кључних демографских изазова</w:t>
      </w:r>
    </w:p>
    <w:tbl>
      <w:tblPr>
        <w:tblStyle w:val="GridTable4-Accent1"/>
        <w:tblW w:w="816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3343"/>
        <w:gridCol w:w="4822"/>
      </w:tblGrid>
      <w:tr>
        <w:trPr>
          <w:trHeight w:val="391" w:hRule="atLeast"/>
          <w:cnfStyle w:val="100000000000" w:firstRow="1" w:lastRow="0" w:firstColumn="0" w:lastColumn="0" w:oddVBand="0" w:evenVBand="0" w:oddHBand="0" w:evenHBand="0" w:firstRowFirstColumn="0" w:firstRowLastColumn="0" w:lastRowFirstColumn="0" w:lastRowLastColumn="0"/>
        </w:trPr>
        <w:tc>
          <w:tcPr>
            <w:tcW w:w="3343"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color w:themeColor="text1" w:val="000000"/>
                <w:lang w:val="sr-RS"/>
              </w:rPr>
            </w:pPr>
            <w:r>
              <w:rPr>
                <w:b w:val="false"/>
                <w:bCs w:val="false"/>
                <w:color w:themeColor="text1" w:val="000000"/>
                <w:sz w:val="24"/>
                <w:szCs w:val="24"/>
                <w:lang w:val="sr-RS" w:bidi="ar-SA"/>
              </w:rPr>
              <w:t>Област</w:t>
            </w:r>
          </w:p>
        </w:tc>
        <w:tc>
          <w:tcPr>
            <w:tcW w:w="4822"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b w:val="false"/>
                <w:bCs w:val="false"/>
                <w:color w:themeColor="text1" w:val="000000"/>
                <w:lang w:val="sr-RS"/>
              </w:rPr>
            </w:pPr>
            <w:r>
              <w:rPr>
                <w:b w:val="false"/>
                <w:bCs w:val="false"/>
                <w:color w:themeColor="text1" w:val="000000"/>
                <w:sz w:val="24"/>
                <w:szCs w:val="24"/>
                <w:lang w:val="sr-RS" w:bidi="ar-SA"/>
              </w:rPr>
              <w:t>Опис</w:t>
            </w:r>
          </w:p>
        </w:tc>
      </w:tr>
      <w:tr>
        <w:trPr>
          <w:trHeight w:val="391" w:hRule="atLeast"/>
          <w:cnfStyle w:val="000000100000" w:firstRow="0" w:lastRow="0" w:firstColumn="0" w:lastColumn="0" w:oddVBand="0" w:evenVBand="0" w:oddHBand="1" w:evenHBand="0" w:firstRowFirstColumn="0" w:firstRowLastColumn="0" w:lastRowFirstColumn="0" w:lastRowLastColumn="0"/>
        </w:trPr>
        <w:tc>
          <w:tcPr>
            <w:tcW w:w="334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b w:val="false"/>
                <w:bCs w:val="false"/>
                <w:color w:themeColor="text1" w:val="000000"/>
                <w:lang w:val="sr-RS"/>
              </w:rPr>
            </w:pPr>
            <w:r>
              <w:rPr>
                <w:b/>
                <w:bCs/>
                <w:color w:themeColor="text1" w:val="000000"/>
                <w:sz w:val="24"/>
                <w:szCs w:val="24"/>
                <w:lang w:val="sr-RS" w:bidi="ar-SA"/>
              </w:rPr>
              <w:t>Старење</w:t>
            </w:r>
          </w:p>
        </w:tc>
        <w:tc>
          <w:tcPr>
            <w:tcW w:w="4822"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Најбројније групе: 50–69 година</w:t>
            </w:r>
          </w:p>
        </w:tc>
      </w:tr>
      <w:tr>
        <w:trPr>
          <w:trHeight w:val="391" w:hRule="atLeast"/>
        </w:trPr>
        <w:tc>
          <w:tcPr>
            <w:tcW w:w="3343"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Наталитет</w:t>
            </w:r>
          </w:p>
        </w:tc>
        <w:tc>
          <w:tcPr>
            <w:tcW w:w="4822"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542 рођених / 449 умрлих (5 година)</w:t>
            </w:r>
          </w:p>
        </w:tc>
      </w:tr>
      <w:tr>
        <w:trPr>
          <w:trHeight w:val="391" w:hRule="atLeast"/>
          <w:cnfStyle w:val="000000100000" w:firstRow="0" w:lastRow="0" w:firstColumn="0" w:lastColumn="0" w:oddVBand="0" w:evenVBand="0" w:oddHBand="1" w:evenHBand="0" w:firstRowFirstColumn="0" w:firstRowLastColumn="0" w:lastRowFirstColumn="0" w:lastRowLastColumn="0"/>
        </w:trPr>
        <w:tc>
          <w:tcPr>
            <w:tcW w:w="334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Миграције</w:t>
            </w:r>
          </w:p>
        </w:tc>
        <w:tc>
          <w:tcPr>
            <w:tcW w:w="4822"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+62 салдо, али губитак младих</w:t>
            </w:r>
          </w:p>
        </w:tc>
      </w:tr>
      <w:tr>
        <w:trPr>
          <w:trHeight w:val="391" w:hRule="atLeast"/>
        </w:trPr>
        <w:tc>
          <w:tcPr>
            <w:tcW w:w="3343"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Социјални ризици</w:t>
            </w:r>
          </w:p>
        </w:tc>
        <w:tc>
          <w:tcPr>
            <w:tcW w:w="4822"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812 самохраних родитеља</w:t>
            </w:r>
          </w:p>
        </w:tc>
      </w:tr>
      <w:tr>
        <w:trPr>
          <w:trHeight w:val="391" w:hRule="atLeast"/>
          <w:cnfStyle w:val="000000100000" w:firstRow="0" w:lastRow="0" w:firstColumn="0" w:lastColumn="0" w:oddVBand="0" w:evenVBand="0" w:oddHBand="1" w:evenHBand="0" w:firstRowFirstColumn="0" w:firstRowLastColumn="0" w:lastRowFirstColumn="0" w:lastRowLastColumn="0"/>
        </w:trPr>
        <w:tc>
          <w:tcPr>
            <w:tcW w:w="334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Млади</w:t>
            </w:r>
          </w:p>
        </w:tc>
        <w:tc>
          <w:tcPr>
            <w:tcW w:w="4822"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520 младих живи са родитељима</w:t>
            </w:r>
          </w:p>
        </w:tc>
      </w:tr>
      <w:tr>
        <w:trPr>
          <w:trHeight w:val="391" w:hRule="atLeast"/>
        </w:trPr>
        <w:tc>
          <w:tcPr>
            <w:tcW w:w="3343"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Социјална помоћ</w:t>
            </w:r>
          </w:p>
        </w:tc>
        <w:tc>
          <w:tcPr>
            <w:tcW w:w="4822"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489 корисника укупно</w:t>
            </w:r>
          </w:p>
        </w:tc>
      </w:tr>
      <w:tr>
        <w:trPr>
          <w:trHeight w:val="391" w:hRule="atLeast"/>
          <w:cnfStyle w:val="000000100000" w:firstRow="0" w:lastRow="0" w:firstColumn="0" w:lastColumn="0" w:oddVBand="0" w:evenVBand="0" w:oddHBand="1" w:evenHBand="0" w:firstRowFirstColumn="0" w:firstRowLastColumn="0" w:lastRowFirstColumn="0" w:lastRowLastColumn="0"/>
        </w:trPr>
        <w:tc>
          <w:tcPr>
            <w:tcW w:w="334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Породице са више деце</w:t>
            </w:r>
          </w:p>
        </w:tc>
        <w:tc>
          <w:tcPr>
            <w:tcW w:w="4822"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254</w:t>
            </w:r>
          </w:p>
        </w:tc>
      </w:tr>
    </w:tbl>
    <w:p>
      <w:pPr>
        <w:pStyle w:val="Normal"/>
        <w:rPr>
          <w:color w:themeColor="text1" w:val="000000"/>
          <w:lang w:val="sr-RS"/>
        </w:rPr>
      </w:pPr>
      <w:r>
        <w:rPr>
          <w:color w:themeColor="text1" w:val="000000"/>
          <w:lang w:val="sr-RS"/>
        </w:rPr>
      </w:r>
    </w:p>
    <w:p>
      <w:pPr>
        <w:pStyle w:val="Heading1"/>
        <w:numPr>
          <w:ilvl w:val="1"/>
          <w:numId w:val="8"/>
        </w:numPr>
        <w:rPr>
          <w:rStyle w:val="Strong"/>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АНАЛИЗА ПРИМАРНИХ ПОДАТАКА прикупљених од институција</w:t>
      </w:r>
    </w:p>
    <w:p>
      <w:pPr>
        <w:pStyle w:val="NormalWeb"/>
        <w:spacing w:before="280" w:after="280"/>
        <w:jc w:val="both"/>
        <w:rPr>
          <w:lang w:val="sr-RS"/>
        </w:rPr>
      </w:pPr>
      <w:r>
        <w:rPr>
          <w:color w:themeColor="text1" w:val="000000"/>
          <w:lang w:val="sr-RS"/>
        </w:rPr>
        <w:t>Процес прикупљања примарних података у оквиру израде Локалног акционог плана популационе политике општине Беочин спроведен је уз учешће свих релевантних локалних актера чије делатности директно или индиректно утичу на положај породица, деце, младих и старијих лица. Упитници су били структурирани, са јединственим сетом питања, како би се обезбедила упоредивост података и омогућило систематско сагледавање потреба и изазова.</w:t>
      </w:r>
    </w:p>
    <w:p>
      <w:pPr>
        <w:pStyle w:val="NormalWeb"/>
        <w:spacing w:before="280" w:after="280"/>
        <w:jc w:val="both"/>
        <w:rPr>
          <w:lang w:val="sr-RS"/>
        </w:rPr>
      </w:pPr>
      <w:r>
        <w:rPr>
          <w:color w:themeColor="text1" w:val="000000"/>
          <w:lang w:val="sr-RS"/>
        </w:rPr>
        <w:t>Прикупљање података реализовано је у периоду након достављања основних општинских показатеља, што је омогућило да се институционални увиди анализирају у ширем контексту демографских кретања. Укупно је учествовало више институција и организација са територије општине Беочин, укључујући:</w:t>
      </w:r>
    </w:p>
    <w:p>
      <w:pPr>
        <w:pStyle w:val="NormalWeb"/>
        <w:numPr>
          <w:ilvl w:val="0"/>
          <w:numId w:val="9"/>
        </w:numPr>
        <w:spacing w:before="280" w:after="0"/>
        <w:rPr>
          <w:lang w:val="sr-RS"/>
        </w:rPr>
      </w:pPr>
      <w:r>
        <w:rPr>
          <w:rStyle w:val="Strong"/>
          <w:b w:val="false"/>
          <w:bCs w:val="false"/>
          <w:color w:themeColor="text1" w:val="000000"/>
          <w:lang w:val="sr-RS"/>
        </w:rPr>
        <w:t>Предшколска установа „Љуба Станковић“</w:t>
      </w:r>
    </w:p>
    <w:p>
      <w:pPr>
        <w:pStyle w:val="NormalWeb"/>
        <w:numPr>
          <w:ilvl w:val="0"/>
          <w:numId w:val="9"/>
        </w:numPr>
        <w:spacing w:before="0" w:after="0"/>
        <w:rPr>
          <w:lang w:val="sr-RS"/>
        </w:rPr>
      </w:pPr>
      <w:r>
        <w:rPr>
          <w:rStyle w:val="Strong"/>
          <w:b w:val="false"/>
          <w:bCs w:val="false"/>
          <w:color w:themeColor="text1" w:val="000000"/>
          <w:lang w:val="sr-RS"/>
        </w:rPr>
        <w:t>Основна школа „Јован Грчић Миленко“</w:t>
      </w:r>
      <w:r>
        <w:rPr>
          <w:color w:themeColor="text1" w:val="000000"/>
          <w:lang w:val="sr-RS"/>
        </w:rPr>
        <w:t xml:space="preserve"> (Беочин)</w:t>
      </w:r>
    </w:p>
    <w:p>
      <w:pPr>
        <w:pStyle w:val="NormalWeb"/>
        <w:numPr>
          <w:ilvl w:val="0"/>
          <w:numId w:val="9"/>
        </w:numPr>
        <w:spacing w:before="0" w:after="0"/>
        <w:rPr>
          <w:lang w:val="sr-RS"/>
        </w:rPr>
      </w:pPr>
      <w:r>
        <w:rPr>
          <w:rStyle w:val="Strong"/>
          <w:b w:val="false"/>
          <w:bCs w:val="false"/>
          <w:color w:themeColor="text1" w:val="000000"/>
          <w:lang w:val="sr-RS"/>
        </w:rPr>
        <w:t>Основна школа „Јован Поповић“</w:t>
      </w:r>
      <w:r>
        <w:rPr>
          <w:color w:themeColor="text1" w:val="000000"/>
          <w:lang w:val="sr-RS"/>
        </w:rPr>
        <w:t xml:space="preserve"> (Сусек)</w:t>
      </w:r>
    </w:p>
    <w:p>
      <w:pPr>
        <w:pStyle w:val="NormalWeb"/>
        <w:numPr>
          <w:ilvl w:val="0"/>
          <w:numId w:val="9"/>
        </w:numPr>
        <w:spacing w:before="0" w:after="0"/>
        <w:rPr>
          <w:lang w:val="sr-RS"/>
        </w:rPr>
      </w:pPr>
      <w:r>
        <w:rPr>
          <w:rStyle w:val="Strong"/>
          <w:b w:val="false"/>
          <w:bCs w:val="false"/>
          <w:color w:themeColor="text1" w:val="000000"/>
          <w:lang w:val="sr-RS"/>
        </w:rPr>
        <w:t>Дом здравља „Др Душан Савић Дода“, Беочин</w:t>
      </w:r>
    </w:p>
    <w:p>
      <w:pPr>
        <w:pStyle w:val="NormalWeb"/>
        <w:numPr>
          <w:ilvl w:val="0"/>
          <w:numId w:val="9"/>
        </w:numPr>
        <w:spacing w:before="0" w:after="0"/>
        <w:rPr>
          <w:lang w:val="sr-RS"/>
        </w:rPr>
      </w:pPr>
      <w:r>
        <w:rPr>
          <w:rStyle w:val="Strong"/>
          <w:b w:val="false"/>
          <w:bCs w:val="false"/>
          <w:color w:themeColor="text1" w:val="000000"/>
          <w:lang w:val="sr-RS"/>
        </w:rPr>
        <w:t>Центар за социјални рад Беочин</w:t>
      </w:r>
    </w:p>
    <w:p>
      <w:pPr>
        <w:pStyle w:val="NormalWeb"/>
        <w:numPr>
          <w:ilvl w:val="0"/>
          <w:numId w:val="9"/>
        </w:numPr>
        <w:spacing w:before="0" w:after="0"/>
        <w:rPr>
          <w:lang w:val="sr-RS"/>
        </w:rPr>
      </w:pPr>
      <w:r>
        <w:rPr>
          <w:rStyle w:val="Strong"/>
          <w:b w:val="false"/>
          <w:bCs w:val="false"/>
          <w:color w:themeColor="text1" w:val="000000"/>
          <w:lang w:val="sr-RS"/>
        </w:rPr>
        <w:t>Локална акциона група „Фрушка гора – Дунав“ (ЛАГ)</w:t>
      </w:r>
    </w:p>
    <w:p>
      <w:pPr>
        <w:pStyle w:val="NormalWeb"/>
        <w:numPr>
          <w:ilvl w:val="0"/>
          <w:numId w:val="9"/>
        </w:numPr>
        <w:spacing w:before="0" w:after="0"/>
        <w:rPr>
          <w:lang w:val="sr-RS"/>
        </w:rPr>
      </w:pPr>
      <w:r>
        <w:rPr>
          <w:rStyle w:val="Strong"/>
          <w:b w:val="false"/>
          <w:bCs w:val="false"/>
          <w:color w:themeColor="text1" w:val="000000"/>
          <w:lang w:val="sr-RS"/>
        </w:rPr>
        <w:t>Туристичка организација општине Беочин</w:t>
      </w:r>
    </w:p>
    <w:p>
      <w:pPr>
        <w:pStyle w:val="NormalWeb"/>
        <w:numPr>
          <w:ilvl w:val="0"/>
          <w:numId w:val="9"/>
        </w:numPr>
        <w:spacing w:before="0" w:after="0"/>
        <w:rPr>
          <w:lang w:val="sr-RS"/>
        </w:rPr>
      </w:pPr>
      <w:r>
        <w:rPr>
          <w:rStyle w:val="Strong"/>
          <w:b w:val="false"/>
          <w:bCs w:val="false"/>
          <w:color w:themeColor="text1" w:val="000000"/>
          <w:lang w:val="sr-RS"/>
        </w:rPr>
        <w:t>КУД „Бриле“</w:t>
      </w:r>
    </w:p>
    <w:p>
      <w:pPr>
        <w:pStyle w:val="NormalWeb"/>
        <w:numPr>
          <w:ilvl w:val="0"/>
          <w:numId w:val="9"/>
        </w:numPr>
        <w:spacing w:before="0" w:after="0"/>
        <w:rPr>
          <w:lang w:val="sr-RS"/>
        </w:rPr>
      </w:pPr>
      <w:r>
        <w:rPr>
          <w:rStyle w:val="Strong"/>
          <w:b w:val="false"/>
          <w:bCs w:val="false"/>
          <w:color w:themeColor="text1" w:val="000000"/>
          <w:lang w:val="sr-RS"/>
        </w:rPr>
        <w:t>Словачко удружење жена „Вредне пчелице“</w:t>
      </w:r>
    </w:p>
    <w:p>
      <w:pPr>
        <w:pStyle w:val="NormalWeb"/>
        <w:numPr>
          <w:ilvl w:val="0"/>
          <w:numId w:val="9"/>
        </w:numPr>
        <w:spacing w:before="0" w:after="280"/>
        <w:rPr>
          <w:lang w:val="sr-RS"/>
        </w:rPr>
      </w:pPr>
      <w:r>
        <w:rPr>
          <w:rStyle w:val="Strong"/>
          <w:b w:val="false"/>
          <w:bCs w:val="false"/>
          <w:color w:themeColor="text1" w:val="000000"/>
          <w:lang w:val="sr-RS"/>
        </w:rPr>
        <w:t>Друштво за борбу против шећерне болести</w:t>
      </w:r>
      <w:r>
        <w:rPr>
          <w:color w:themeColor="text1" w:val="000000"/>
          <w:lang w:val="sr-RS"/>
        </w:rPr>
        <w:t xml:space="preserve"> </w:t>
      </w:r>
    </w:p>
    <w:p>
      <w:pPr>
        <w:pStyle w:val="NormalWeb"/>
        <w:spacing w:before="280" w:after="280"/>
        <w:jc w:val="both"/>
        <w:rPr>
          <w:lang w:val="sr-RS"/>
        </w:rPr>
      </w:pPr>
      <w:r>
        <w:rPr>
          <w:color w:themeColor="text1" w:val="000000"/>
          <w:lang w:val="sr-RS"/>
        </w:rPr>
        <w:t>Свака институција је упитник попуњавала у складу са својим надлежностима, доступним подацима и виђењем стања на терену. На тај начин, поред статистичких показатеља, прикупљени су и подаци о капацитетима, бројности корисника, уоченим изазовима у раду, приоритетним потребама, као и препорукама за унапређење мера популационе политике.</w:t>
      </w:r>
    </w:p>
    <w:p>
      <w:pPr>
        <w:pStyle w:val="NormalWeb"/>
        <w:spacing w:before="280" w:after="280"/>
        <w:jc w:val="both"/>
        <w:rPr>
          <w:rStyle w:val="Strong"/>
          <w:b w:val="false"/>
          <w:bCs w:val="false"/>
          <w:lang w:val="sr-RS"/>
        </w:rPr>
      </w:pPr>
      <w:r>
        <w:rPr>
          <w:color w:themeColor="text1" w:val="000000"/>
          <w:lang w:val="sr-RS"/>
        </w:rPr>
        <w:t>Контекст у којем су подаци прикупљани обликован је специфичностима општине Беочин: израженим разликама између урбаног и руралних делова, близином већег градског центра (Нови Сад), старењем становништва, као и ограниченим локалним ресурсима у појединим сферама. Због тога су подаци институција од посебне важности, јер пружају увид у реалне потребе и дневне изазове корисника, што је неопходно за ефикасно планирање мера популационе политике</w:t>
      </w:r>
    </w:p>
    <w:p>
      <w:pPr>
        <w:pStyle w:val="Heading2"/>
        <w:spacing w:before="280" w:after="280"/>
        <w:jc w:val="both"/>
        <w:rPr>
          <w:sz w:val="24"/>
          <w:szCs w:val="24"/>
          <w:lang w:val="sr-RS"/>
        </w:rPr>
      </w:pPr>
      <w:r>
        <w:rPr>
          <w:sz w:val="24"/>
          <w:szCs w:val="24"/>
          <w:lang w:val="sr-RS"/>
        </w:rPr>
      </w:r>
    </w:p>
    <w:p>
      <w:pPr>
        <w:pStyle w:val="Heading2"/>
        <w:spacing w:before="280" w:after="280"/>
        <w:jc w:val="both"/>
        <w:rPr>
          <w:sz w:val="24"/>
          <w:szCs w:val="24"/>
          <w:lang w:val="sr-RS"/>
        </w:rPr>
      </w:pPr>
      <w:r>
        <w:rPr>
          <w:rStyle w:val="Strong"/>
          <w:b/>
          <w:bCs/>
          <w:color w:themeColor="text1" w:val="000000"/>
          <w:sz w:val="24"/>
          <w:szCs w:val="24"/>
          <w:lang w:val="sr-RS"/>
        </w:rPr>
        <w:t>8.2.1. Општа оцена демографске ситуације</w:t>
      </w:r>
    </w:p>
    <w:p>
      <w:pPr>
        <w:pStyle w:val="NormalWeb"/>
        <w:spacing w:before="280" w:after="280"/>
        <w:jc w:val="both"/>
        <w:rPr>
          <w:lang w:val="sr-RS"/>
        </w:rPr>
      </w:pPr>
      <w:r>
        <w:rPr>
          <w:color w:themeColor="text1" w:val="000000"/>
          <w:lang w:val="sr-RS"/>
        </w:rPr>
        <w:t xml:space="preserve">Већина институција оцењује демографску ситуацију као </w:t>
      </w:r>
      <w:r>
        <w:rPr>
          <w:rStyle w:val="Emphasis"/>
          <w:color w:themeColor="text1" w:val="000000"/>
          <w:lang w:val="sr-RS"/>
        </w:rPr>
        <w:t>лошу или веома лошу</w:t>
      </w:r>
      <w:r>
        <w:rPr>
          <w:color w:themeColor="text1" w:val="000000"/>
          <w:lang w:val="sr-RS"/>
        </w:rPr>
        <w:t>. Као главни узроци се издвајају:</w:t>
      </w:r>
    </w:p>
    <w:p>
      <w:pPr>
        <w:pStyle w:val="NormalWeb"/>
        <w:numPr>
          <w:ilvl w:val="0"/>
          <w:numId w:val="11"/>
        </w:numPr>
        <w:spacing w:before="280" w:after="0"/>
        <w:jc w:val="both"/>
        <w:rPr>
          <w:lang w:val="sr-RS"/>
        </w:rPr>
      </w:pPr>
      <w:r>
        <w:rPr>
          <w:color w:themeColor="text1" w:val="000000"/>
          <w:lang w:val="sr-RS"/>
        </w:rPr>
        <w:t>одлазак младих након школовања,</w:t>
      </w:r>
    </w:p>
    <w:p>
      <w:pPr>
        <w:pStyle w:val="NormalWeb"/>
        <w:numPr>
          <w:ilvl w:val="0"/>
          <w:numId w:val="11"/>
        </w:numPr>
        <w:spacing w:before="0" w:after="0"/>
        <w:jc w:val="both"/>
        <w:rPr>
          <w:lang w:val="sr-RS"/>
        </w:rPr>
      </w:pPr>
      <w:r>
        <w:rPr>
          <w:color w:themeColor="text1" w:val="000000"/>
          <w:lang w:val="sr-RS"/>
        </w:rPr>
        <w:t>економска нестабилност и ограничена понуда квалитетних радних места у локалној средини,</w:t>
      </w:r>
    </w:p>
    <w:p>
      <w:pPr>
        <w:pStyle w:val="NormalWeb"/>
        <w:numPr>
          <w:ilvl w:val="0"/>
          <w:numId w:val="11"/>
        </w:numPr>
        <w:spacing w:before="0" w:after="0"/>
        <w:jc w:val="both"/>
        <w:rPr>
          <w:lang w:val="sr-RS"/>
        </w:rPr>
      </w:pPr>
      <w:r>
        <w:rPr>
          <w:color w:themeColor="text1" w:val="000000"/>
          <w:lang w:val="sr-RS"/>
        </w:rPr>
        <w:t>недостатак стамбене подршке за младе,</w:t>
      </w:r>
    </w:p>
    <w:p>
      <w:pPr>
        <w:pStyle w:val="NormalWeb"/>
        <w:numPr>
          <w:ilvl w:val="0"/>
          <w:numId w:val="11"/>
        </w:numPr>
        <w:spacing w:before="0" w:after="0"/>
        <w:jc w:val="both"/>
        <w:rPr>
          <w:lang w:val="sr-RS"/>
        </w:rPr>
      </w:pPr>
      <w:r>
        <w:rPr>
          <w:color w:themeColor="text1" w:val="000000"/>
          <w:lang w:val="sr-RS"/>
        </w:rPr>
        <w:t>недовољна доступност вртића у појединим руралним деловима,</w:t>
      </w:r>
    </w:p>
    <w:p>
      <w:pPr>
        <w:pStyle w:val="NormalWeb"/>
        <w:numPr>
          <w:ilvl w:val="0"/>
          <w:numId w:val="11"/>
        </w:numPr>
        <w:spacing w:before="0" w:after="0"/>
        <w:jc w:val="both"/>
        <w:rPr>
          <w:lang w:val="sr-RS"/>
        </w:rPr>
      </w:pPr>
      <w:r>
        <w:rPr>
          <w:color w:themeColor="text1" w:val="000000"/>
          <w:lang w:val="sr-RS"/>
        </w:rPr>
        <w:t>слаба локална инфраструктура (путеви, интернет, јавни превоз),</w:t>
      </w:r>
    </w:p>
    <w:p>
      <w:pPr>
        <w:pStyle w:val="NormalWeb"/>
        <w:numPr>
          <w:ilvl w:val="0"/>
          <w:numId w:val="11"/>
        </w:numPr>
        <w:spacing w:before="0" w:after="280"/>
        <w:jc w:val="both"/>
        <w:rPr>
          <w:lang w:val="sr-RS"/>
        </w:rPr>
      </w:pPr>
      <w:r>
        <w:rPr>
          <w:color w:themeColor="text1" w:val="000000"/>
          <w:lang w:val="sr-RS"/>
        </w:rPr>
        <w:t>недовољна понуда културних и омладинских садржаја.</w:t>
      </w:r>
    </w:p>
    <w:p>
      <w:pPr>
        <w:pStyle w:val="NormalWeb"/>
        <w:spacing w:before="280" w:after="280"/>
        <w:jc w:val="both"/>
        <w:rPr>
          <w:lang w:val="sr-RS"/>
        </w:rPr>
      </w:pPr>
      <w:r>
        <w:rPr>
          <w:color w:themeColor="text1" w:val="000000"/>
          <w:lang w:val="sr-RS"/>
        </w:rPr>
        <w:t>Ови подаци снажно кореспондирају са општинским подацима о старосној структури, одливу младих и ниском укупном наталитету.</w:t>
      </w:r>
    </w:p>
    <w:p>
      <w:pPr>
        <w:pStyle w:val="Heading2"/>
        <w:spacing w:before="280" w:after="280"/>
        <w:jc w:val="both"/>
        <w:rPr>
          <w:sz w:val="24"/>
          <w:szCs w:val="24"/>
          <w:lang w:val="sr-RS"/>
        </w:rPr>
      </w:pPr>
      <w:r>
        <w:rPr>
          <w:rStyle w:val="Strong"/>
          <w:b/>
          <w:bCs/>
          <w:color w:themeColor="text1" w:val="000000"/>
          <w:sz w:val="24"/>
          <w:szCs w:val="24"/>
          <w:lang w:val="sr-RS"/>
        </w:rPr>
        <w:t>8.2.2. Препознати узроци ниског наталитета</w:t>
      </w:r>
    </w:p>
    <w:p>
      <w:pPr>
        <w:pStyle w:val="NormalWeb"/>
        <w:spacing w:before="280" w:after="280"/>
        <w:jc w:val="both"/>
        <w:rPr>
          <w:lang w:val="sr-RS"/>
        </w:rPr>
      </w:pPr>
      <w:r>
        <w:rPr>
          <w:color w:themeColor="text1" w:val="000000"/>
          <w:lang w:val="sr-RS"/>
        </w:rPr>
        <w:t>Институције су као најзначајније разлоге ниског наталитета означиле:</w:t>
      </w:r>
    </w:p>
    <w:p>
      <w:pPr>
        <w:pStyle w:val="NormalWeb"/>
        <w:numPr>
          <w:ilvl w:val="0"/>
          <w:numId w:val="12"/>
        </w:numPr>
        <w:spacing w:before="280" w:after="0"/>
        <w:jc w:val="both"/>
        <w:rPr>
          <w:lang w:val="sr-RS"/>
        </w:rPr>
      </w:pPr>
      <w:r>
        <w:rPr>
          <w:rStyle w:val="Strong"/>
          <w:color w:themeColor="text1" w:val="000000"/>
          <w:lang w:val="sr-RS"/>
        </w:rPr>
        <w:t>Економску несигурност младих породица</w:t>
      </w:r>
      <w:r>
        <w:rPr>
          <w:color w:themeColor="text1" w:val="000000"/>
          <w:lang w:val="sr-RS"/>
        </w:rPr>
        <w:t>, укључујући нестабилна запослења и просечне зараде које не прате раст трошкова.</w:t>
      </w:r>
    </w:p>
    <w:p>
      <w:pPr>
        <w:pStyle w:val="NormalWeb"/>
        <w:numPr>
          <w:ilvl w:val="0"/>
          <w:numId w:val="12"/>
        </w:numPr>
        <w:spacing w:before="0" w:after="0"/>
        <w:jc w:val="both"/>
        <w:rPr>
          <w:lang w:val="sr-RS"/>
        </w:rPr>
      </w:pPr>
      <w:r>
        <w:rPr>
          <w:rStyle w:val="Strong"/>
          <w:color w:themeColor="text1" w:val="000000"/>
          <w:lang w:val="sr-RS"/>
        </w:rPr>
        <w:t>Недостатак адекватног стамбеног простора</w:t>
      </w:r>
      <w:r>
        <w:rPr>
          <w:color w:themeColor="text1" w:val="000000"/>
          <w:lang w:val="sr-RS"/>
        </w:rPr>
        <w:t>, посебно за младе парове који желе да оснују породицу.</w:t>
      </w:r>
    </w:p>
    <w:p>
      <w:pPr>
        <w:pStyle w:val="NormalWeb"/>
        <w:numPr>
          <w:ilvl w:val="0"/>
          <w:numId w:val="12"/>
        </w:numPr>
        <w:spacing w:before="0" w:after="0"/>
        <w:jc w:val="both"/>
        <w:rPr>
          <w:lang w:val="sr-RS"/>
        </w:rPr>
      </w:pPr>
      <w:r>
        <w:rPr>
          <w:rStyle w:val="Strong"/>
          <w:color w:themeColor="text1" w:val="000000"/>
          <w:lang w:val="sr-RS"/>
        </w:rPr>
        <w:t>Одлазак младих у Нови Сад или иностранство</w:t>
      </w:r>
      <w:r>
        <w:rPr>
          <w:color w:themeColor="text1" w:val="000000"/>
          <w:lang w:val="sr-RS"/>
        </w:rPr>
        <w:t xml:space="preserve"> након средње школе.</w:t>
      </w:r>
    </w:p>
    <w:p>
      <w:pPr>
        <w:pStyle w:val="NormalWeb"/>
        <w:numPr>
          <w:ilvl w:val="0"/>
          <w:numId w:val="12"/>
        </w:numPr>
        <w:spacing w:before="0" w:after="0"/>
        <w:jc w:val="both"/>
        <w:rPr>
          <w:lang w:val="sr-RS"/>
        </w:rPr>
      </w:pPr>
      <w:r>
        <w:rPr>
          <w:rStyle w:val="Strong"/>
          <w:color w:themeColor="text1" w:val="000000"/>
          <w:lang w:val="sr-RS"/>
        </w:rPr>
        <w:t>Недовољну инфраструктурну опремљеност вртића и школа</w:t>
      </w:r>
      <w:r>
        <w:rPr>
          <w:color w:themeColor="text1" w:val="000000"/>
          <w:lang w:val="sr-RS"/>
        </w:rPr>
        <w:t>, посебно у руралним деловима.</w:t>
      </w:r>
    </w:p>
    <w:p>
      <w:pPr>
        <w:pStyle w:val="NormalWeb"/>
        <w:numPr>
          <w:ilvl w:val="0"/>
          <w:numId w:val="12"/>
        </w:numPr>
        <w:spacing w:before="0" w:after="280"/>
        <w:jc w:val="both"/>
        <w:rPr>
          <w:lang w:val="sr-RS"/>
        </w:rPr>
      </w:pPr>
      <w:r>
        <w:rPr>
          <w:rStyle w:val="Strong"/>
          <w:color w:themeColor="text1" w:val="000000"/>
          <w:lang w:val="sr-RS"/>
        </w:rPr>
        <w:t>Недостатак подршке кроз јавни превоз и дигиталну инфраструктуру</w:t>
      </w:r>
      <w:r>
        <w:rPr>
          <w:color w:themeColor="text1" w:val="000000"/>
          <w:lang w:val="sr-RS"/>
        </w:rPr>
        <w:t xml:space="preserve"> — што посебно истиче ЛАГ.</w:t>
      </w:r>
    </w:p>
    <w:p>
      <w:pPr>
        <w:pStyle w:val="NormalWeb"/>
        <w:spacing w:before="280" w:after="280"/>
        <w:rPr>
          <w:color w:themeColor="text1" w:val="000000"/>
          <w:lang w:val="sr-RS"/>
        </w:rPr>
      </w:pPr>
      <w:r>
        <w:rPr>
          <w:color w:themeColor="text1" w:val="000000"/>
          <w:lang w:val="sr-RS"/>
        </w:rPr>
        <w:t>Додатно, више институција наглашава да рурална насеља (Сусек, Баноштор, Беочин село, Раковац) имају видљиве специфичне проблеме: слабу доступност услуга, мањак организованих програма за децу и младе и инфраструктурну запуштеност.</w:t>
      </w:r>
    </w:p>
    <w:p>
      <w:pPr>
        <w:pStyle w:val="Heading2"/>
        <w:spacing w:before="280" w:after="280"/>
        <w:rPr>
          <w:color w:themeColor="text1" w:val="000000"/>
          <w:sz w:val="24"/>
          <w:szCs w:val="24"/>
          <w:lang w:val="sr-RS"/>
        </w:rPr>
      </w:pPr>
      <w:r>
        <w:rPr>
          <w:rStyle w:val="Strong"/>
          <w:b/>
          <w:bCs/>
          <w:color w:themeColor="text1" w:val="000000"/>
          <w:sz w:val="24"/>
          <w:szCs w:val="24"/>
          <w:lang w:val="sr-RS"/>
        </w:rPr>
        <w:t>8.2.3. Постојеће мере које институције спроводе</w:t>
      </w:r>
    </w:p>
    <w:p>
      <w:pPr>
        <w:pStyle w:val="NormalWeb"/>
        <w:spacing w:before="280" w:after="280"/>
        <w:rPr>
          <w:color w:themeColor="text1" w:val="000000"/>
          <w:lang w:val="sr-RS"/>
        </w:rPr>
      </w:pPr>
      <w:r>
        <w:rPr>
          <w:color w:themeColor="text1" w:val="000000"/>
          <w:lang w:val="sr-RS"/>
        </w:rPr>
        <w:t>Иако институције немају овлашћења да директно утичу на наталитет, неке од њих спроводе мере које индиректно доприносе:</w:t>
      </w:r>
    </w:p>
    <w:p>
      <w:pPr>
        <w:pStyle w:val="NormalWeb"/>
        <w:numPr>
          <w:ilvl w:val="0"/>
          <w:numId w:val="13"/>
        </w:numPr>
        <w:spacing w:before="280" w:after="0"/>
        <w:rPr>
          <w:color w:themeColor="text1" w:val="000000"/>
          <w:lang w:val="sr-RS"/>
        </w:rPr>
      </w:pPr>
      <w:r>
        <w:rPr>
          <w:rStyle w:val="Strong"/>
          <w:color w:themeColor="text1" w:val="000000"/>
          <w:lang w:val="sr-RS"/>
        </w:rPr>
        <w:t>Школе</w:t>
      </w:r>
      <w:r>
        <w:rPr>
          <w:color w:themeColor="text1" w:val="000000"/>
          <w:lang w:val="sr-RS"/>
        </w:rPr>
        <w:t>: бесплатни уџбеници у сарадњи са општином, бесплатан прибор за ученике из осетљивих група, подршка ученицима са тешкоћама у учењу.</w:t>
      </w:r>
    </w:p>
    <w:p>
      <w:pPr>
        <w:pStyle w:val="NormalWeb"/>
        <w:numPr>
          <w:ilvl w:val="0"/>
          <w:numId w:val="13"/>
        </w:numPr>
        <w:spacing w:before="0" w:after="0"/>
        <w:rPr>
          <w:color w:themeColor="text1" w:val="000000"/>
          <w:lang w:val="sr-RS"/>
        </w:rPr>
      </w:pPr>
      <w:r>
        <w:rPr>
          <w:rStyle w:val="Strong"/>
          <w:color w:themeColor="text1" w:val="000000"/>
          <w:lang w:val="sr-RS"/>
        </w:rPr>
        <w:t>Предшколска установа</w:t>
      </w:r>
      <w:r>
        <w:rPr>
          <w:color w:themeColor="text1" w:val="000000"/>
          <w:lang w:val="sr-RS"/>
        </w:rPr>
        <w:t>: инклузивни приступ, раст броја деце са сметњама у развоју, потреба за додатним капацитетима и адаптираним просторима.</w:t>
      </w:r>
    </w:p>
    <w:p>
      <w:pPr>
        <w:pStyle w:val="NormalWeb"/>
        <w:numPr>
          <w:ilvl w:val="0"/>
          <w:numId w:val="13"/>
        </w:numPr>
        <w:spacing w:before="0" w:after="0"/>
        <w:rPr>
          <w:color w:themeColor="text1" w:val="000000"/>
          <w:lang w:val="sr-RS"/>
        </w:rPr>
      </w:pPr>
      <w:r>
        <w:rPr>
          <w:rStyle w:val="Strong"/>
          <w:color w:themeColor="text1" w:val="000000"/>
          <w:lang w:val="sr-RS"/>
        </w:rPr>
        <w:t>Дом здравља</w:t>
      </w:r>
      <w:r>
        <w:rPr>
          <w:color w:themeColor="text1" w:val="000000"/>
          <w:lang w:val="sr-RS"/>
        </w:rPr>
        <w:t>: постоје гинеколог и педијатар, али је оптерећеност система значајна; институција указује на потребу за додатним услугама усмереним на породице.</w:t>
      </w:r>
    </w:p>
    <w:p>
      <w:pPr>
        <w:pStyle w:val="NormalWeb"/>
        <w:numPr>
          <w:ilvl w:val="0"/>
          <w:numId w:val="13"/>
        </w:numPr>
        <w:spacing w:before="0" w:after="0"/>
        <w:rPr>
          <w:color w:themeColor="text1" w:val="000000"/>
          <w:lang w:val="sr-RS"/>
        </w:rPr>
      </w:pPr>
      <w:r>
        <w:rPr>
          <w:rStyle w:val="Strong"/>
          <w:color w:themeColor="text1" w:val="000000"/>
          <w:lang w:val="sr-RS"/>
        </w:rPr>
        <w:t>Центар за социјални рад</w:t>
      </w:r>
      <w:r>
        <w:rPr>
          <w:color w:themeColor="text1" w:val="000000"/>
          <w:lang w:val="sr-RS"/>
        </w:rPr>
        <w:t>: значајан број корисника дечијег додатка и социјалних услуга; потреба за проширењем локалних сервиса.</w:t>
      </w:r>
    </w:p>
    <w:p>
      <w:pPr>
        <w:pStyle w:val="NormalWeb"/>
        <w:numPr>
          <w:ilvl w:val="0"/>
          <w:numId w:val="13"/>
        </w:numPr>
        <w:spacing w:before="0" w:after="280"/>
        <w:rPr>
          <w:color w:themeColor="text1" w:val="000000"/>
          <w:lang w:val="sr-RS"/>
        </w:rPr>
      </w:pPr>
      <w:r>
        <w:rPr>
          <w:rStyle w:val="Strong"/>
          <w:color w:themeColor="text1" w:val="000000"/>
          <w:lang w:val="sr-RS"/>
        </w:rPr>
        <w:t>ЛАГ Фрушка гора – Дунав</w:t>
      </w:r>
      <w:r>
        <w:rPr>
          <w:color w:themeColor="text1" w:val="000000"/>
          <w:lang w:val="sr-RS"/>
        </w:rPr>
        <w:t>: снажан акценат на развоју локалне економије, дигиталној инфраструктури, руралним програмима за младе и унапређењу јавног превоза.</w:t>
      </w:r>
    </w:p>
    <w:p>
      <w:pPr>
        <w:pStyle w:val="Heading2"/>
        <w:spacing w:before="280" w:after="280"/>
        <w:rPr>
          <w:color w:themeColor="text1" w:val="000000"/>
          <w:sz w:val="24"/>
          <w:szCs w:val="24"/>
          <w:lang w:val="sr-RS"/>
        </w:rPr>
      </w:pPr>
      <w:r>
        <w:rPr>
          <w:rStyle w:val="Strong"/>
          <w:b/>
          <w:bCs/>
          <w:color w:themeColor="text1" w:val="000000"/>
          <w:sz w:val="24"/>
          <w:szCs w:val="24"/>
          <w:lang w:val="sr-RS"/>
        </w:rPr>
        <w:t>8.2.4. Приоритетне мере према институцијама</w:t>
      </w:r>
    </w:p>
    <w:p>
      <w:pPr>
        <w:pStyle w:val="NormalWeb"/>
        <w:spacing w:before="280" w:after="280"/>
        <w:rPr>
          <w:color w:themeColor="text1" w:val="000000"/>
          <w:lang w:val="sr-RS"/>
        </w:rPr>
      </w:pPr>
      <w:r>
        <w:rPr>
          <w:color w:themeColor="text1" w:val="000000"/>
          <w:lang w:val="sr-RS"/>
        </w:rPr>
        <w:t>Према доминантном ставу институција, следеће мере треба да буду приоритетне у ЛАП-у:</w:t>
      </w:r>
    </w:p>
    <w:p>
      <w:pPr>
        <w:pStyle w:val="NormalWeb"/>
        <w:numPr>
          <w:ilvl w:val="0"/>
          <w:numId w:val="14"/>
        </w:numPr>
        <w:spacing w:before="280" w:after="0"/>
        <w:rPr>
          <w:color w:themeColor="text1" w:val="000000"/>
          <w:lang w:val="sr-RS"/>
        </w:rPr>
      </w:pPr>
      <w:r>
        <w:rPr>
          <w:rStyle w:val="Strong"/>
          <w:color w:themeColor="text1" w:val="000000"/>
          <w:lang w:val="sr-RS"/>
        </w:rPr>
        <w:t>Повећање доступности вртића и боравка у вртићима</w:t>
      </w:r>
      <w:r>
        <w:rPr>
          <w:color w:themeColor="text1" w:val="000000"/>
          <w:lang w:val="sr-RS"/>
        </w:rPr>
        <w:t xml:space="preserve"> (изузетно високо рангирано од обе школе и ПУ).</w:t>
      </w:r>
    </w:p>
    <w:p>
      <w:pPr>
        <w:pStyle w:val="NormalWeb"/>
        <w:numPr>
          <w:ilvl w:val="0"/>
          <w:numId w:val="14"/>
        </w:numPr>
        <w:spacing w:before="0" w:after="0"/>
        <w:rPr>
          <w:color w:themeColor="text1" w:val="000000"/>
          <w:lang w:val="sr-RS"/>
        </w:rPr>
      </w:pPr>
      <w:r>
        <w:rPr>
          <w:rStyle w:val="Strong"/>
          <w:color w:themeColor="text1" w:val="000000"/>
          <w:lang w:val="sr-RS"/>
        </w:rPr>
        <w:t>Јачање запошљавања и предузетништва младих родитеља.</w:t>
      </w:r>
    </w:p>
    <w:p>
      <w:pPr>
        <w:pStyle w:val="NormalWeb"/>
        <w:numPr>
          <w:ilvl w:val="0"/>
          <w:numId w:val="14"/>
        </w:numPr>
        <w:spacing w:before="0" w:after="0"/>
        <w:rPr>
          <w:color w:themeColor="text1" w:val="000000"/>
          <w:lang w:val="sr-RS"/>
        </w:rPr>
      </w:pPr>
      <w:r>
        <w:rPr>
          <w:rStyle w:val="Strong"/>
          <w:color w:themeColor="text1" w:val="000000"/>
          <w:lang w:val="sr-RS"/>
        </w:rPr>
        <w:t>Побољшање услова за труднице и бебе у здравству.</w:t>
      </w:r>
    </w:p>
    <w:p>
      <w:pPr>
        <w:pStyle w:val="NormalWeb"/>
        <w:numPr>
          <w:ilvl w:val="0"/>
          <w:numId w:val="14"/>
        </w:numPr>
        <w:spacing w:before="0" w:after="0"/>
        <w:rPr>
          <w:color w:themeColor="text1" w:val="000000"/>
          <w:lang w:val="sr-RS"/>
        </w:rPr>
      </w:pPr>
      <w:r>
        <w:rPr>
          <w:rStyle w:val="Strong"/>
          <w:color w:themeColor="text1" w:val="000000"/>
          <w:lang w:val="sr-RS"/>
        </w:rPr>
        <w:t>Стипендије, награде и подршка школовању деце и младих.</w:t>
      </w:r>
    </w:p>
    <w:p>
      <w:pPr>
        <w:pStyle w:val="NormalWeb"/>
        <w:numPr>
          <w:ilvl w:val="0"/>
          <w:numId w:val="14"/>
        </w:numPr>
        <w:spacing w:before="0" w:after="280"/>
        <w:rPr>
          <w:color w:themeColor="text1" w:val="000000"/>
          <w:lang w:val="sr-RS"/>
        </w:rPr>
      </w:pPr>
      <w:r>
        <w:rPr>
          <w:rStyle w:val="Strong"/>
          <w:color w:themeColor="text1" w:val="000000"/>
          <w:lang w:val="sr-RS"/>
        </w:rPr>
        <w:t>Субвенционисање стана/плаца за младе породице</w:t>
      </w:r>
      <w:r>
        <w:rPr>
          <w:color w:themeColor="text1" w:val="000000"/>
          <w:lang w:val="sr-RS"/>
        </w:rPr>
        <w:t xml:space="preserve"> — неке институције то виде као критичну меру за задржавање становништва.</w:t>
      </w:r>
    </w:p>
    <w:p>
      <w:pPr>
        <w:pStyle w:val="NormalWeb"/>
        <w:spacing w:before="280" w:after="280"/>
        <w:rPr>
          <w:color w:themeColor="text1" w:val="000000"/>
          <w:lang w:val="sr-RS"/>
        </w:rPr>
      </w:pPr>
      <w:r>
        <w:rPr>
          <w:color w:themeColor="text1" w:val="000000"/>
          <w:lang w:val="sr-RS"/>
        </w:rPr>
        <w:t>ЛАГ је додатно идентификовао специфичне мере:</w:t>
        <w:br/>
        <w:t>– дигитална инфраструктура (оптички интернет),</w:t>
        <w:br/>
        <w:t>– јачање јавног превоза,</w:t>
        <w:br/>
        <w:t>– програми за младе у руралним срединама,</w:t>
        <w:br/>
        <w:t>– развој руралног идентитета, очување заната, гастрономије и традиције.</w:t>
      </w:r>
    </w:p>
    <w:p>
      <w:pPr>
        <w:pStyle w:val="Heading2"/>
        <w:spacing w:before="280" w:after="280"/>
        <w:rPr>
          <w:color w:themeColor="text1" w:val="000000"/>
          <w:sz w:val="24"/>
          <w:szCs w:val="24"/>
          <w:lang w:val="sr-RS"/>
        </w:rPr>
      </w:pPr>
      <w:r>
        <w:rPr>
          <w:rStyle w:val="Strong"/>
          <w:b/>
          <w:bCs/>
          <w:color w:themeColor="text1" w:val="000000"/>
          <w:sz w:val="24"/>
          <w:szCs w:val="24"/>
          <w:lang w:val="sr-RS"/>
        </w:rPr>
        <w:t>8.2.5. Групе које захтевају посебне мере</w:t>
      </w:r>
    </w:p>
    <w:p>
      <w:pPr>
        <w:pStyle w:val="NormalWeb"/>
        <w:spacing w:before="280" w:after="280"/>
        <w:rPr>
          <w:color w:themeColor="text1" w:val="000000"/>
          <w:lang w:val="sr-RS"/>
        </w:rPr>
      </w:pPr>
      <w:r>
        <w:rPr>
          <w:color w:themeColor="text1" w:val="000000"/>
          <w:lang w:val="sr-RS"/>
        </w:rPr>
        <w:t>Издвојене су следеће групе:</w:t>
      </w:r>
    </w:p>
    <w:p>
      <w:pPr>
        <w:pStyle w:val="NormalWeb"/>
        <w:numPr>
          <w:ilvl w:val="0"/>
          <w:numId w:val="15"/>
        </w:numPr>
        <w:spacing w:before="280" w:after="0"/>
        <w:rPr>
          <w:color w:themeColor="text1" w:val="000000"/>
          <w:lang w:val="sr-RS"/>
        </w:rPr>
      </w:pPr>
      <w:r>
        <w:rPr>
          <w:color w:themeColor="text1" w:val="000000"/>
          <w:lang w:val="sr-RS"/>
        </w:rPr>
        <w:t>самохране родитеље,</w:t>
      </w:r>
    </w:p>
    <w:p>
      <w:pPr>
        <w:pStyle w:val="NormalWeb"/>
        <w:numPr>
          <w:ilvl w:val="0"/>
          <w:numId w:val="15"/>
        </w:numPr>
        <w:spacing w:before="0" w:after="0"/>
        <w:rPr>
          <w:color w:themeColor="text1" w:val="000000"/>
          <w:lang w:val="sr-RS"/>
        </w:rPr>
      </w:pPr>
      <w:r>
        <w:rPr>
          <w:color w:themeColor="text1" w:val="000000"/>
          <w:lang w:val="sr-RS"/>
        </w:rPr>
        <w:t>породице са троје и више деце,</w:t>
      </w:r>
    </w:p>
    <w:p>
      <w:pPr>
        <w:pStyle w:val="NormalWeb"/>
        <w:numPr>
          <w:ilvl w:val="0"/>
          <w:numId w:val="15"/>
        </w:numPr>
        <w:spacing w:before="0" w:after="0"/>
        <w:rPr>
          <w:color w:themeColor="text1" w:val="000000"/>
          <w:lang w:val="sr-RS"/>
        </w:rPr>
      </w:pPr>
      <w:r>
        <w:rPr>
          <w:color w:themeColor="text1" w:val="000000"/>
          <w:lang w:val="sr-RS"/>
        </w:rPr>
        <w:t>млади брачни парови,</w:t>
      </w:r>
    </w:p>
    <w:p>
      <w:pPr>
        <w:pStyle w:val="NormalWeb"/>
        <w:numPr>
          <w:ilvl w:val="0"/>
          <w:numId w:val="15"/>
        </w:numPr>
        <w:spacing w:before="0" w:after="0"/>
        <w:rPr>
          <w:color w:themeColor="text1" w:val="000000"/>
          <w:lang w:val="sr-RS"/>
        </w:rPr>
      </w:pPr>
      <w:r>
        <w:rPr>
          <w:color w:themeColor="text1" w:val="000000"/>
          <w:lang w:val="sr-RS"/>
        </w:rPr>
        <w:t>породице у руралним срединама,</w:t>
      </w:r>
    </w:p>
    <w:p>
      <w:pPr>
        <w:pStyle w:val="NormalWeb"/>
        <w:numPr>
          <w:ilvl w:val="0"/>
          <w:numId w:val="15"/>
        </w:numPr>
        <w:spacing w:before="0" w:after="280"/>
        <w:rPr>
          <w:color w:themeColor="text1" w:val="000000"/>
          <w:lang w:val="sr-RS"/>
        </w:rPr>
      </w:pPr>
      <w:r>
        <w:rPr>
          <w:color w:themeColor="text1" w:val="000000"/>
          <w:lang w:val="sr-RS"/>
        </w:rPr>
        <w:t>Роми и друге рањиве категорије.</w:t>
      </w:r>
    </w:p>
    <w:p>
      <w:pPr>
        <w:pStyle w:val="NormalWeb"/>
        <w:spacing w:before="280" w:after="280"/>
        <w:rPr>
          <w:color w:themeColor="text1" w:val="000000"/>
          <w:lang w:val="sr-RS"/>
        </w:rPr>
      </w:pPr>
      <w:r>
        <w:rPr>
          <w:color w:themeColor="text1" w:val="000000"/>
          <w:lang w:val="sr-RS"/>
        </w:rPr>
        <w:t>Ово потврђује дубље структурне неједнакости унутар општине.</w:t>
      </w:r>
    </w:p>
    <w:p>
      <w:pPr>
        <w:pStyle w:val="Heading2"/>
        <w:spacing w:before="280" w:after="280"/>
        <w:rPr>
          <w:color w:themeColor="text1" w:val="000000"/>
          <w:sz w:val="24"/>
          <w:szCs w:val="24"/>
          <w:lang w:val="sr-RS"/>
        </w:rPr>
      </w:pPr>
      <w:r>
        <w:rPr>
          <w:rStyle w:val="Strong"/>
          <w:b/>
          <w:bCs/>
          <w:color w:themeColor="text1" w:val="000000"/>
          <w:sz w:val="24"/>
          <w:szCs w:val="24"/>
          <w:lang w:val="sr-RS"/>
        </w:rPr>
        <w:t>8.2.6. Кључне препоруке које се појављују у више упитника</w:t>
      </w:r>
    </w:p>
    <w:p>
      <w:pPr>
        <w:pStyle w:val="NormalWeb"/>
        <w:spacing w:before="280" w:after="280"/>
        <w:rPr>
          <w:color w:themeColor="text1" w:val="000000"/>
          <w:lang w:val="sr-RS"/>
        </w:rPr>
      </w:pPr>
      <w:r>
        <w:rPr>
          <w:color w:themeColor="text1" w:val="000000"/>
          <w:lang w:val="sr-RS"/>
        </w:rPr>
        <w:t>Институције су на више места нагласиле да ЛАП треба да садржи:</w:t>
      </w:r>
    </w:p>
    <w:p>
      <w:pPr>
        <w:pStyle w:val="NormalWeb"/>
        <w:numPr>
          <w:ilvl w:val="0"/>
          <w:numId w:val="16"/>
        </w:numPr>
        <w:spacing w:before="280" w:after="0"/>
        <w:rPr>
          <w:color w:themeColor="text1" w:val="000000"/>
          <w:lang w:val="sr-RS"/>
        </w:rPr>
      </w:pPr>
      <w:r>
        <w:rPr>
          <w:color w:themeColor="text1" w:val="000000"/>
          <w:lang w:val="sr-RS"/>
        </w:rPr>
        <w:t>системску стамбену подршку младим породицама,</w:t>
      </w:r>
    </w:p>
    <w:p>
      <w:pPr>
        <w:pStyle w:val="NormalWeb"/>
        <w:numPr>
          <w:ilvl w:val="0"/>
          <w:numId w:val="16"/>
        </w:numPr>
        <w:spacing w:before="0" w:after="0"/>
        <w:rPr>
          <w:color w:themeColor="text1" w:val="000000"/>
          <w:lang w:val="sr-RS"/>
        </w:rPr>
      </w:pPr>
      <w:r>
        <w:rPr>
          <w:color w:themeColor="text1" w:val="000000"/>
          <w:lang w:val="sr-RS"/>
        </w:rPr>
        <w:t>значајно унапређење вртића (капацитет, квалитет, адаптација за децу са сметњама у развоју),</w:t>
      </w:r>
    </w:p>
    <w:p>
      <w:pPr>
        <w:pStyle w:val="NormalWeb"/>
        <w:numPr>
          <w:ilvl w:val="0"/>
          <w:numId w:val="16"/>
        </w:numPr>
        <w:spacing w:before="0" w:after="0"/>
        <w:rPr>
          <w:color w:themeColor="text1" w:val="000000"/>
          <w:lang w:val="sr-RS"/>
        </w:rPr>
      </w:pPr>
      <w:r>
        <w:rPr>
          <w:color w:themeColor="text1" w:val="000000"/>
          <w:lang w:val="sr-RS"/>
        </w:rPr>
        <w:t>увођење нових здравствених услуга (патронажа, саветовалишта, проширени педијатријски капацитети),</w:t>
      </w:r>
    </w:p>
    <w:p>
      <w:pPr>
        <w:pStyle w:val="NormalWeb"/>
        <w:numPr>
          <w:ilvl w:val="0"/>
          <w:numId w:val="16"/>
        </w:numPr>
        <w:spacing w:before="0" w:after="0"/>
        <w:rPr>
          <w:color w:themeColor="text1" w:val="000000"/>
          <w:lang w:val="sr-RS"/>
        </w:rPr>
      </w:pPr>
      <w:r>
        <w:rPr>
          <w:color w:themeColor="text1" w:val="000000"/>
          <w:lang w:val="sr-RS"/>
        </w:rPr>
        <w:t>развој локалних програма за младе у руралним подручјима,</w:t>
      </w:r>
    </w:p>
    <w:p>
      <w:pPr>
        <w:pStyle w:val="NormalWeb"/>
        <w:numPr>
          <w:ilvl w:val="0"/>
          <w:numId w:val="16"/>
        </w:numPr>
        <w:spacing w:before="0" w:after="0"/>
        <w:rPr>
          <w:color w:themeColor="text1" w:val="000000"/>
          <w:lang w:val="sr-RS"/>
        </w:rPr>
      </w:pPr>
      <w:r>
        <w:rPr>
          <w:color w:themeColor="text1" w:val="000000"/>
          <w:lang w:val="sr-RS"/>
        </w:rPr>
        <w:t>подршку самозапошљавању и женском предузетништву,</w:t>
      </w:r>
    </w:p>
    <w:p>
      <w:pPr>
        <w:pStyle w:val="NormalWeb"/>
        <w:numPr>
          <w:ilvl w:val="0"/>
          <w:numId w:val="16"/>
        </w:numPr>
        <w:spacing w:before="0" w:after="0"/>
        <w:rPr>
          <w:color w:themeColor="text1" w:val="000000"/>
          <w:lang w:val="sr-RS"/>
        </w:rPr>
      </w:pPr>
      <w:r>
        <w:rPr>
          <w:color w:themeColor="text1" w:val="000000"/>
          <w:lang w:val="sr-RS"/>
        </w:rPr>
        <w:t>инвестиције у јавни превоз, путеве и интернет,</w:t>
      </w:r>
    </w:p>
    <w:p>
      <w:pPr>
        <w:pStyle w:val="NormalWeb"/>
        <w:numPr>
          <w:ilvl w:val="0"/>
          <w:numId w:val="16"/>
        </w:numPr>
        <w:spacing w:before="0" w:after="280"/>
        <w:rPr>
          <w:color w:themeColor="text1" w:val="000000"/>
          <w:lang w:val="sr-RS"/>
        </w:rPr>
      </w:pPr>
      <w:r>
        <w:rPr>
          <w:color w:themeColor="text1" w:val="000000"/>
          <w:lang w:val="sr-RS"/>
        </w:rPr>
        <w:t>јачање културних, спортских и социјалних садржаја за породице.</w:t>
      </w:r>
    </w:p>
    <w:p>
      <w:pPr>
        <w:pStyle w:val="Heading1"/>
        <w:rPr>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8.2.7 Закључак синтетизоване анализе</w:t>
      </w:r>
    </w:p>
    <w:p>
      <w:pPr>
        <w:pStyle w:val="NormalWeb"/>
        <w:spacing w:before="280" w:after="280"/>
        <w:jc w:val="both"/>
        <w:rPr>
          <w:lang w:val="sr-RS"/>
        </w:rPr>
      </w:pPr>
      <w:r>
        <w:rPr>
          <w:color w:themeColor="text1" w:val="000000"/>
          <w:lang w:val="sr-RS"/>
        </w:rPr>
        <w:t>Анализа примарних података добијених од предшколске установе, основних школа, Дома здравља, Центра за социјални рад, ЛАГ-а, Туристичке организације, културних удружења и организација цивилног друштва показује висок степен усаглашености међу институцијама у погледу кључних демографских и социо-економских изазова општине Беочин. Иако институције припадају различитим секторима и раде са различитим групама становништва, њихове процене се међусобно надопуњују и указују на исте структурне проблеме који утичу на демографске токове и квалитет живота становника.</w:t>
      </w:r>
    </w:p>
    <w:p>
      <w:pPr>
        <w:pStyle w:val="NormalWeb"/>
        <w:spacing w:before="280" w:after="280"/>
        <w:jc w:val="both"/>
        <w:rPr>
          <w:lang w:val="sr-RS"/>
        </w:rPr>
      </w:pPr>
      <w:r>
        <w:rPr>
          <w:color w:themeColor="text1" w:val="000000"/>
          <w:lang w:val="sr-RS"/>
        </w:rPr>
        <w:t>Према интегрисаној анализи, највећи и најучесталије помињани изазови су:</w:t>
      </w:r>
    </w:p>
    <w:p>
      <w:pPr>
        <w:pStyle w:val="NormalWeb"/>
        <w:numPr>
          <w:ilvl w:val="0"/>
          <w:numId w:val="17"/>
        </w:numPr>
        <w:spacing w:before="280" w:after="0"/>
        <w:jc w:val="both"/>
        <w:rPr>
          <w:lang w:val="sr-RS"/>
        </w:rPr>
      </w:pPr>
      <w:r>
        <w:rPr>
          <w:rStyle w:val="Strong"/>
          <w:color w:themeColor="text1" w:val="000000"/>
          <w:lang w:val="sr-RS"/>
        </w:rPr>
        <w:t>Одлив младих и укупно старење становништва</w:t>
      </w:r>
      <w:r>
        <w:rPr>
          <w:color w:themeColor="text1" w:val="000000"/>
          <w:lang w:val="sr-RS"/>
        </w:rPr>
        <w:t>, што се одражава кроз смањено присуство младих породица, смањење броја деце и ученика, слабије интересовање младих за останак у локалној средини и растуће потребе за услугама за старије.</w:t>
      </w:r>
    </w:p>
    <w:p>
      <w:pPr>
        <w:pStyle w:val="NormalWeb"/>
        <w:numPr>
          <w:ilvl w:val="0"/>
          <w:numId w:val="17"/>
        </w:numPr>
        <w:spacing w:before="0" w:after="0"/>
        <w:jc w:val="both"/>
        <w:rPr>
          <w:lang w:val="sr-RS"/>
        </w:rPr>
      </w:pPr>
      <w:r>
        <w:rPr>
          <w:rStyle w:val="Strong"/>
          <w:color w:themeColor="text1" w:val="000000"/>
          <w:lang w:val="sr-RS"/>
        </w:rPr>
        <w:t>Инфраструктурна и економска недовољна развијеност</w:t>
      </w:r>
      <w:r>
        <w:rPr>
          <w:color w:themeColor="text1" w:val="000000"/>
          <w:lang w:val="sr-RS"/>
        </w:rPr>
        <w:t>, са посебним освртом на недостатак стабилних и добро плаћених радних места, лошу саобраћајну повезаност руралних делова, неразвијен јавни превоз, недовољне капацитете вртића и школа и ограничену доступност дигиталне инфраструктуре.</w:t>
      </w:r>
    </w:p>
    <w:p>
      <w:pPr>
        <w:pStyle w:val="NormalWeb"/>
        <w:numPr>
          <w:ilvl w:val="0"/>
          <w:numId w:val="17"/>
        </w:numPr>
        <w:spacing w:before="0" w:after="280"/>
        <w:jc w:val="both"/>
        <w:rPr>
          <w:lang w:val="sr-RS"/>
        </w:rPr>
      </w:pPr>
      <w:r>
        <w:rPr>
          <w:rStyle w:val="Strong"/>
          <w:color w:themeColor="text1" w:val="000000"/>
          <w:lang w:val="sr-RS"/>
        </w:rPr>
        <w:t>Потреба за јачањем системске подршке породицама</w:t>
      </w:r>
      <w:r>
        <w:rPr>
          <w:color w:themeColor="text1" w:val="000000"/>
          <w:lang w:val="sr-RS"/>
        </w:rPr>
        <w:t>, посебно у домену здравствених услуга, услуга дуготрајне неге, раног развоја деце, предшколског васпитања, социјалне заштите, образовања и омладинских програма. Институције истичу да постојећи капацитети нису довољни да одговоре на растуће потребе, нарочито у руралним подручјима.</w:t>
      </w:r>
    </w:p>
    <w:p>
      <w:pPr>
        <w:pStyle w:val="NormalWeb"/>
        <w:spacing w:before="280" w:after="280"/>
        <w:jc w:val="both"/>
        <w:rPr>
          <w:lang w:val="sr-RS"/>
        </w:rPr>
      </w:pPr>
      <w:r>
        <w:rPr>
          <w:color w:themeColor="text1" w:val="000000"/>
          <w:lang w:val="sr-RS"/>
        </w:rPr>
        <w:t>Важно је нагласити да ниједна институција није указала на супротне или значајно различите тенденције; напротив, одговори се у великој мери преклапају, што потврђује да су идентификовани проблеми стабилно присутни у локалној заједници и уочљиви из више перспектива. Институције не само да се слажу у процени изазова, већ дају и комплементарне препоруке — од развоја инфраструктуре и унапређења здравствених услуга до стамбене подршке младима и јачања образовних капацитета.</w:t>
      </w:r>
    </w:p>
    <w:p>
      <w:pPr>
        <w:pStyle w:val="NormalWeb"/>
        <w:spacing w:before="280" w:after="280"/>
        <w:jc w:val="both"/>
        <w:rPr>
          <w:lang w:val="sr-RS"/>
        </w:rPr>
      </w:pPr>
      <w:r>
        <w:rPr>
          <w:color w:themeColor="text1" w:val="000000"/>
          <w:lang w:val="sr-RS"/>
        </w:rPr>
        <w:t>Оваква усклађеност података и ставова значајно повећава поузданост анализе и представља чврсту основу за формулисање приоритетних циљева, мера и активности у оквиру ЛАП-а. Комбиновањем институционалних увида са подацима добијеним од општине и грађана, добија се свеобухватна и реална слика стања, неопходна за креирање ефикасних политика популационог развоја општине Беочин.</w:t>
      </w:r>
    </w:p>
    <w:p>
      <w:pPr>
        <w:pStyle w:val="Heading1"/>
        <w:rPr>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8.2.8 Препоруке институција за конкретне мере и активности</w:t>
      </w:r>
    </w:p>
    <w:p>
      <w:pPr>
        <w:pStyle w:val="NormalWeb"/>
        <w:spacing w:before="280" w:after="280"/>
        <w:jc w:val="both"/>
        <w:rPr>
          <w:lang w:val="sr-RS"/>
        </w:rPr>
      </w:pPr>
      <w:r>
        <w:rPr>
          <w:color w:themeColor="text1" w:val="000000"/>
          <w:lang w:val="sr-RS"/>
        </w:rPr>
        <w:t>На основу прикупљених упитника, све институције су навеле јасне и операционализоване препоруке које би, по њиховом мишљењу, имале највећи утицај на побољшање демографских кретања, квалитета живота породица и укупни развој локалне заједнице. Препоруке се поклапају у више области и могу се груписати у седам функционалних целина.</w:t>
      </w:r>
    </w:p>
    <w:p>
      <w:pPr>
        <w:pStyle w:val="Heading2"/>
        <w:spacing w:before="280" w:after="280"/>
        <w:rPr>
          <w:color w:themeColor="text1" w:val="000000"/>
          <w:sz w:val="24"/>
          <w:szCs w:val="24"/>
          <w:lang w:val="sr-RS"/>
        </w:rPr>
      </w:pPr>
      <w:r>
        <w:rPr>
          <w:rStyle w:val="Strong"/>
          <w:b/>
          <w:bCs/>
          <w:color w:themeColor="text1" w:val="000000"/>
          <w:sz w:val="24"/>
          <w:szCs w:val="24"/>
          <w:lang w:val="sr-RS"/>
        </w:rPr>
        <w:t>8.2.8.1. Унапређење капацитета и доступности предшколског и школског образовања</w:t>
      </w:r>
    </w:p>
    <w:p>
      <w:pPr>
        <w:pStyle w:val="NormalWeb"/>
        <w:spacing w:before="280" w:after="280"/>
        <w:jc w:val="both"/>
        <w:rPr>
          <w:lang w:val="sr-RS"/>
        </w:rPr>
      </w:pPr>
      <w:r>
        <w:rPr>
          <w:color w:themeColor="text1" w:val="000000"/>
          <w:lang w:val="sr-RS"/>
        </w:rPr>
        <w:t>Институције из образовног сектора (ПУ, обе основне школе), као и ЛАГ, истичу да је приоритетно потребно:</w:t>
      </w:r>
    </w:p>
    <w:p>
      <w:pPr>
        <w:pStyle w:val="NormalWeb"/>
        <w:numPr>
          <w:ilvl w:val="0"/>
          <w:numId w:val="18"/>
        </w:numPr>
        <w:spacing w:before="280" w:after="0"/>
        <w:jc w:val="both"/>
        <w:rPr>
          <w:lang w:val="sr-RS"/>
        </w:rPr>
      </w:pPr>
      <w:r>
        <w:rPr>
          <w:color w:themeColor="text1" w:val="000000"/>
          <w:lang w:val="sr-RS"/>
        </w:rPr>
        <w:t>проширити просторне капацитете вртића и адаптирати их за децу са сметњама у развоју,</w:t>
      </w:r>
    </w:p>
    <w:p>
      <w:pPr>
        <w:pStyle w:val="NormalWeb"/>
        <w:numPr>
          <w:ilvl w:val="0"/>
          <w:numId w:val="18"/>
        </w:numPr>
        <w:spacing w:before="0" w:after="0"/>
        <w:jc w:val="both"/>
        <w:rPr>
          <w:lang w:val="sr-RS"/>
        </w:rPr>
      </w:pPr>
      <w:r>
        <w:rPr>
          <w:color w:themeColor="text1" w:val="000000"/>
          <w:lang w:val="sr-RS"/>
        </w:rPr>
        <w:t>обезбедити додатне групе у насељима где потребе превазилазе постојеће капацитете,</w:t>
      </w:r>
    </w:p>
    <w:p>
      <w:pPr>
        <w:pStyle w:val="NormalWeb"/>
        <w:numPr>
          <w:ilvl w:val="0"/>
          <w:numId w:val="18"/>
        </w:numPr>
        <w:spacing w:before="0" w:after="0"/>
        <w:jc w:val="both"/>
        <w:rPr>
          <w:lang w:val="sr-RS"/>
        </w:rPr>
      </w:pPr>
      <w:r>
        <w:rPr>
          <w:color w:themeColor="text1" w:val="000000"/>
          <w:lang w:val="sr-RS"/>
        </w:rPr>
        <w:t xml:space="preserve">увести подстицајне програме за </w:t>
      </w:r>
      <w:r>
        <w:rPr>
          <w:color w:val="000000"/>
          <w:lang w:val="sr-RS"/>
        </w:rPr>
        <w:t>обухват деце вртићког узраста</w:t>
      </w:r>
    </w:p>
    <w:p>
      <w:pPr>
        <w:pStyle w:val="NormalWeb"/>
        <w:numPr>
          <w:ilvl w:val="0"/>
          <w:numId w:val="18"/>
        </w:numPr>
        <w:spacing w:before="0" w:after="0"/>
        <w:jc w:val="both"/>
        <w:rPr>
          <w:lang w:val="sr-RS"/>
        </w:rPr>
      </w:pPr>
      <w:r>
        <w:rPr>
          <w:color w:themeColor="text1" w:val="000000"/>
          <w:lang w:val="sr-RS"/>
        </w:rPr>
        <w:t>оснажити сарадњу између школа, родитеља и локалне заједнице,</w:t>
      </w:r>
    </w:p>
    <w:p>
      <w:pPr>
        <w:pStyle w:val="NormalWeb"/>
        <w:numPr>
          <w:ilvl w:val="0"/>
          <w:numId w:val="18"/>
        </w:numPr>
        <w:spacing w:before="0" w:after="280"/>
        <w:jc w:val="both"/>
        <w:rPr>
          <w:lang w:val="sr-RS"/>
        </w:rPr>
      </w:pPr>
      <w:r>
        <w:rPr>
          <w:color w:themeColor="text1" w:val="000000"/>
          <w:lang w:val="sr-RS"/>
        </w:rPr>
        <w:t>унапредити ученички превоз и дигиталну опремљеност школа, посебно у руралним срединама.</w:t>
      </w:r>
    </w:p>
    <w:p>
      <w:pPr>
        <w:pStyle w:val="NormalWeb"/>
        <w:spacing w:before="280" w:after="280"/>
        <w:jc w:val="both"/>
        <w:rPr>
          <w:lang w:val="sr-RS"/>
        </w:rPr>
      </w:pPr>
      <w:r>
        <w:rPr>
          <w:color w:themeColor="text1" w:val="000000"/>
          <w:lang w:val="sr-RS"/>
        </w:rPr>
        <w:t>Ове мере имају за циљ да подрже породице са децом и да смање разлике између урбаних и руралних делова општине.</w:t>
      </w:r>
    </w:p>
    <w:p>
      <w:pPr>
        <w:pStyle w:val="Heading2"/>
        <w:spacing w:before="280" w:after="280"/>
        <w:rPr>
          <w:color w:themeColor="text1" w:val="000000"/>
          <w:sz w:val="24"/>
          <w:szCs w:val="24"/>
          <w:lang w:val="sr-RS"/>
        </w:rPr>
      </w:pPr>
      <w:r>
        <w:rPr>
          <w:rStyle w:val="Strong"/>
          <w:b/>
          <w:bCs/>
          <w:color w:themeColor="text1" w:val="000000"/>
          <w:sz w:val="24"/>
          <w:szCs w:val="24"/>
          <w:lang w:val="sr-RS"/>
        </w:rPr>
        <w:t>8.2.8.2. Јачање здравствених услуга за породице, децу и труднице</w:t>
      </w:r>
    </w:p>
    <w:p>
      <w:pPr>
        <w:pStyle w:val="NormalWeb"/>
        <w:spacing w:before="280" w:after="280"/>
        <w:rPr>
          <w:color w:themeColor="text1" w:val="000000"/>
          <w:lang w:val="sr-RS"/>
        </w:rPr>
      </w:pPr>
      <w:r>
        <w:rPr>
          <w:color w:themeColor="text1" w:val="000000"/>
          <w:lang w:val="sr-RS"/>
        </w:rPr>
        <w:t>Дом здравља и Центар за социјални рад посебно истичу потребу да се:</w:t>
      </w:r>
    </w:p>
    <w:p>
      <w:pPr>
        <w:pStyle w:val="NormalWeb"/>
        <w:numPr>
          <w:ilvl w:val="0"/>
          <w:numId w:val="19"/>
        </w:numPr>
        <w:spacing w:before="280" w:after="0"/>
        <w:rPr>
          <w:color w:themeColor="text1" w:val="000000"/>
          <w:lang w:val="sr-RS"/>
        </w:rPr>
      </w:pPr>
      <w:r>
        <w:rPr>
          <w:color w:themeColor="text1" w:val="000000"/>
          <w:lang w:val="sr-RS"/>
        </w:rPr>
        <w:t>прошире капацитети педијатрије и гинекологије,</w:t>
      </w:r>
    </w:p>
    <w:p>
      <w:pPr>
        <w:pStyle w:val="NormalWeb"/>
        <w:numPr>
          <w:ilvl w:val="0"/>
          <w:numId w:val="19"/>
        </w:numPr>
        <w:spacing w:before="0" w:after="0"/>
        <w:rPr>
          <w:color w:themeColor="text1" w:val="000000"/>
          <w:lang w:val="sr-RS"/>
        </w:rPr>
      </w:pPr>
      <w:r>
        <w:rPr>
          <w:color w:themeColor="text1" w:val="000000"/>
          <w:lang w:val="sr-RS"/>
        </w:rPr>
        <w:t>унапреди патронажна служба,</w:t>
      </w:r>
    </w:p>
    <w:p>
      <w:pPr>
        <w:pStyle w:val="NormalWeb"/>
        <w:numPr>
          <w:ilvl w:val="0"/>
          <w:numId w:val="19"/>
        </w:numPr>
        <w:spacing w:before="0" w:after="0"/>
        <w:rPr>
          <w:color w:themeColor="text1" w:val="000000"/>
          <w:lang w:val="sr-RS"/>
        </w:rPr>
      </w:pPr>
      <w:r>
        <w:rPr>
          <w:color w:themeColor="text1" w:val="000000"/>
          <w:lang w:val="sr-RS"/>
        </w:rPr>
        <w:t>уведу саветовалишта за мајке, родитеље и адолесценте,</w:t>
      </w:r>
    </w:p>
    <w:p>
      <w:pPr>
        <w:pStyle w:val="NormalWeb"/>
        <w:numPr>
          <w:ilvl w:val="0"/>
          <w:numId w:val="19"/>
        </w:numPr>
        <w:spacing w:before="0" w:after="0"/>
        <w:rPr>
          <w:color w:themeColor="text1" w:val="000000"/>
          <w:lang w:val="sr-RS"/>
        </w:rPr>
      </w:pPr>
      <w:r>
        <w:rPr>
          <w:color w:themeColor="text1" w:val="000000"/>
          <w:lang w:val="sr-RS"/>
        </w:rPr>
        <w:t>обезбеде додатни превентивни прегледи за жене репродуктивног доба,</w:t>
      </w:r>
    </w:p>
    <w:p>
      <w:pPr>
        <w:pStyle w:val="NormalWeb"/>
        <w:numPr>
          <w:ilvl w:val="0"/>
          <w:numId w:val="19"/>
        </w:numPr>
        <w:spacing w:before="0" w:after="280"/>
        <w:rPr>
          <w:color w:themeColor="text1" w:val="000000"/>
          <w:lang w:val="sr-RS"/>
        </w:rPr>
      </w:pPr>
      <w:r>
        <w:rPr>
          <w:color w:themeColor="text1" w:val="000000"/>
          <w:lang w:val="sr-RS"/>
        </w:rPr>
        <w:t>уведе системска подршка родитељима деце са сметњама у развоју (логопеди, дефектолози, психолози).</w:t>
      </w:r>
    </w:p>
    <w:p>
      <w:pPr>
        <w:pStyle w:val="NormalWeb"/>
        <w:spacing w:before="280" w:after="280"/>
        <w:rPr>
          <w:color w:themeColor="text1" w:val="000000"/>
          <w:lang w:val="sr-RS"/>
        </w:rPr>
      </w:pPr>
      <w:r>
        <w:rPr>
          <w:color w:themeColor="text1" w:val="000000"/>
          <w:lang w:val="sr-RS"/>
        </w:rPr>
        <w:t>Повећање доступности и квалитета здравствених услуга препознато је као један од кључних фактора задржавања младих породица.</w:t>
      </w:r>
    </w:p>
    <w:p>
      <w:pPr>
        <w:pStyle w:val="Heading2"/>
        <w:spacing w:before="280" w:after="280"/>
        <w:rPr>
          <w:color w:themeColor="text1" w:val="000000"/>
          <w:sz w:val="24"/>
          <w:szCs w:val="24"/>
          <w:lang w:val="sr-RS"/>
        </w:rPr>
      </w:pPr>
      <w:r>
        <w:rPr>
          <w:rStyle w:val="Strong"/>
          <w:b/>
          <w:bCs/>
          <w:color w:themeColor="text1" w:val="000000"/>
          <w:sz w:val="24"/>
          <w:szCs w:val="24"/>
          <w:lang w:val="sr-RS"/>
        </w:rPr>
        <w:t>8.2.8.3. Социјална подршка и унапређење услуга у заједници</w:t>
      </w:r>
    </w:p>
    <w:p>
      <w:pPr>
        <w:pStyle w:val="NormalWeb"/>
        <w:spacing w:before="280" w:after="280"/>
        <w:rPr>
          <w:color w:themeColor="text1" w:val="000000"/>
          <w:lang w:val="sr-RS"/>
        </w:rPr>
      </w:pPr>
      <w:r>
        <w:rPr>
          <w:color w:themeColor="text1" w:val="000000"/>
          <w:lang w:val="sr-RS"/>
        </w:rPr>
        <w:t>ЦСР, ПУ и КУД указују на значај развоја социјалних услуга:</w:t>
      </w:r>
    </w:p>
    <w:p>
      <w:pPr>
        <w:pStyle w:val="NormalWeb"/>
        <w:numPr>
          <w:ilvl w:val="0"/>
          <w:numId w:val="20"/>
        </w:numPr>
        <w:spacing w:before="280" w:after="0"/>
        <w:rPr>
          <w:color w:themeColor="text1" w:val="000000"/>
          <w:lang w:val="sr-RS"/>
        </w:rPr>
      </w:pPr>
      <w:r>
        <w:rPr>
          <w:color w:themeColor="text1" w:val="000000"/>
          <w:lang w:val="sr-RS"/>
        </w:rPr>
        <w:t>ширење услуге помоћи у кући,</w:t>
      </w:r>
    </w:p>
    <w:p>
      <w:pPr>
        <w:pStyle w:val="NormalWeb"/>
        <w:numPr>
          <w:ilvl w:val="0"/>
          <w:numId w:val="20"/>
        </w:numPr>
        <w:spacing w:before="0" w:after="0"/>
        <w:rPr>
          <w:color w:themeColor="text1" w:val="000000"/>
          <w:lang w:val="sr-RS"/>
        </w:rPr>
      </w:pPr>
      <w:r>
        <w:rPr>
          <w:color w:themeColor="text1" w:val="000000"/>
          <w:lang w:val="sr-RS"/>
        </w:rPr>
        <w:t>увођење услуга личног пратиоца и дневних боравишта за децу са сметњама у развоју,</w:t>
      </w:r>
    </w:p>
    <w:p>
      <w:pPr>
        <w:pStyle w:val="NormalWeb"/>
        <w:numPr>
          <w:ilvl w:val="0"/>
          <w:numId w:val="20"/>
        </w:numPr>
        <w:spacing w:before="0" w:after="0"/>
        <w:rPr>
          <w:color w:themeColor="text1" w:val="000000"/>
          <w:lang w:val="sr-RS"/>
        </w:rPr>
      </w:pPr>
      <w:r>
        <w:rPr>
          <w:color w:themeColor="text1" w:val="000000"/>
          <w:lang w:val="sr-RS"/>
        </w:rPr>
        <w:t>подршка самохраном родитељству,</w:t>
      </w:r>
    </w:p>
    <w:p>
      <w:pPr>
        <w:pStyle w:val="NormalWeb"/>
        <w:numPr>
          <w:ilvl w:val="0"/>
          <w:numId w:val="20"/>
        </w:numPr>
        <w:spacing w:before="0" w:after="0"/>
        <w:rPr>
          <w:color w:themeColor="text1" w:val="000000"/>
          <w:lang w:val="sr-RS"/>
        </w:rPr>
      </w:pPr>
      <w:r>
        <w:rPr>
          <w:color w:themeColor="text1" w:val="000000"/>
          <w:lang w:val="sr-RS"/>
        </w:rPr>
        <w:t>подршка породицама са троје и више деце,</w:t>
      </w:r>
    </w:p>
    <w:p>
      <w:pPr>
        <w:pStyle w:val="NormalWeb"/>
        <w:numPr>
          <w:ilvl w:val="0"/>
          <w:numId w:val="20"/>
        </w:numPr>
        <w:spacing w:before="0" w:after="280"/>
        <w:rPr>
          <w:color w:themeColor="text1" w:val="000000"/>
          <w:lang w:val="sr-RS"/>
        </w:rPr>
      </w:pPr>
      <w:r>
        <w:rPr>
          <w:color w:themeColor="text1" w:val="000000"/>
          <w:lang w:val="sr-RS"/>
        </w:rPr>
        <w:t>развој програма за старије у руралним деловима.</w:t>
      </w:r>
    </w:p>
    <w:p>
      <w:pPr>
        <w:pStyle w:val="NormalWeb"/>
        <w:spacing w:before="280" w:after="280"/>
        <w:rPr>
          <w:color w:themeColor="text1" w:val="000000"/>
          <w:lang w:val="sr-RS"/>
        </w:rPr>
      </w:pPr>
      <w:r>
        <w:rPr>
          <w:color w:themeColor="text1" w:val="000000"/>
          <w:lang w:val="sr-RS"/>
        </w:rPr>
        <w:t>Институције наглашавају да раст броја старијих и социјално рањивих лица захтева озбиљно јачање капацитета система.</w:t>
      </w:r>
    </w:p>
    <w:p>
      <w:pPr>
        <w:pStyle w:val="Heading2"/>
        <w:spacing w:before="280" w:after="280"/>
        <w:rPr>
          <w:color w:themeColor="text1" w:val="000000"/>
          <w:sz w:val="24"/>
          <w:szCs w:val="24"/>
          <w:lang w:val="sr-RS"/>
        </w:rPr>
      </w:pPr>
      <w:r>
        <w:rPr>
          <w:color w:themeColor="text1" w:val="000000"/>
          <w:sz w:val="24"/>
          <w:szCs w:val="24"/>
          <w:lang w:val="sr-RS"/>
        </w:rPr>
      </w:r>
    </w:p>
    <w:p>
      <w:pPr>
        <w:pStyle w:val="Heading2"/>
        <w:spacing w:before="280" w:after="280"/>
        <w:rPr>
          <w:color w:themeColor="text1" w:val="000000"/>
          <w:sz w:val="24"/>
          <w:szCs w:val="24"/>
          <w:lang w:val="sr-RS"/>
        </w:rPr>
      </w:pPr>
      <w:r>
        <w:rPr>
          <w:rStyle w:val="Strong"/>
          <w:b/>
          <w:bCs/>
          <w:color w:themeColor="text1" w:val="000000"/>
          <w:sz w:val="24"/>
          <w:szCs w:val="24"/>
          <w:lang w:val="sr-RS"/>
        </w:rPr>
        <w:t>8.2.8.4. Економске мере и подршка запошљавању младих</w:t>
      </w:r>
    </w:p>
    <w:p>
      <w:pPr>
        <w:pStyle w:val="NormalWeb"/>
        <w:spacing w:before="280" w:after="280"/>
        <w:rPr>
          <w:color w:themeColor="text1" w:val="000000"/>
          <w:lang w:val="sr-RS"/>
        </w:rPr>
      </w:pPr>
      <w:r>
        <w:rPr>
          <w:color w:themeColor="text1" w:val="000000"/>
          <w:lang w:val="sr-RS"/>
        </w:rPr>
        <w:t>Према ставовима ЛАГ-а, школа и удружења:</w:t>
      </w:r>
    </w:p>
    <w:p>
      <w:pPr>
        <w:pStyle w:val="NormalWeb"/>
        <w:numPr>
          <w:ilvl w:val="0"/>
          <w:numId w:val="21"/>
        </w:numPr>
        <w:spacing w:before="280" w:after="0"/>
        <w:rPr>
          <w:color w:themeColor="text1" w:val="000000"/>
          <w:lang w:val="sr-RS"/>
        </w:rPr>
      </w:pPr>
      <w:r>
        <w:rPr>
          <w:color w:themeColor="text1" w:val="000000"/>
          <w:lang w:val="sr-RS"/>
        </w:rPr>
        <w:t>треба развити програме подршке предузетништву младих родитеља,</w:t>
      </w:r>
    </w:p>
    <w:p>
      <w:pPr>
        <w:pStyle w:val="NormalWeb"/>
        <w:numPr>
          <w:ilvl w:val="0"/>
          <w:numId w:val="21"/>
        </w:numPr>
        <w:spacing w:before="0" w:after="0"/>
        <w:rPr>
          <w:color w:themeColor="text1" w:val="000000"/>
          <w:lang w:val="sr-RS"/>
        </w:rPr>
      </w:pPr>
      <w:r>
        <w:rPr>
          <w:color w:themeColor="text1" w:val="000000"/>
          <w:lang w:val="sr-RS"/>
        </w:rPr>
        <w:t>креирати локалне субвенције или олакшице за младе који покрећу посао,</w:t>
      </w:r>
    </w:p>
    <w:p>
      <w:pPr>
        <w:pStyle w:val="NormalWeb"/>
        <w:numPr>
          <w:ilvl w:val="0"/>
          <w:numId w:val="21"/>
        </w:numPr>
        <w:spacing w:before="0" w:after="0"/>
        <w:rPr>
          <w:color w:themeColor="text1" w:val="000000"/>
          <w:lang w:val="sr-RS"/>
        </w:rPr>
      </w:pPr>
      <w:r>
        <w:rPr>
          <w:color w:themeColor="text1" w:val="000000"/>
          <w:lang w:val="sr-RS"/>
        </w:rPr>
        <w:t>јачати дуално образовање и сарадњу са локалним привредницима,</w:t>
      </w:r>
    </w:p>
    <w:p>
      <w:pPr>
        <w:pStyle w:val="NormalWeb"/>
        <w:numPr>
          <w:ilvl w:val="0"/>
          <w:numId w:val="21"/>
        </w:numPr>
        <w:spacing w:before="0" w:after="280"/>
        <w:rPr>
          <w:color w:themeColor="text1" w:val="000000"/>
          <w:lang w:val="sr-RS"/>
        </w:rPr>
      </w:pPr>
      <w:r>
        <w:rPr>
          <w:color w:themeColor="text1" w:val="000000"/>
          <w:lang w:val="sr-RS"/>
        </w:rPr>
        <w:t>подстицати локалну производњу и рурални туризам.</w:t>
      </w:r>
    </w:p>
    <w:p>
      <w:pPr>
        <w:pStyle w:val="NormalWeb"/>
        <w:spacing w:before="280" w:after="280"/>
        <w:rPr>
          <w:color w:themeColor="text1" w:val="000000"/>
          <w:lang w:val="sr-RS"/>
        </w:rPr>
      </w:pPr>
      <w:r>
        <w:rPr>
          <w:color w:themeColor="text1" w:val="000000"/>
          <w:lang w:val="sr-RS"/>
        </w:rPr>
        <w:t>Економска несигурност младих истиче се као један од највећих фактора одласка и одлагања родитељства.</w:t>
      </w:r>
    </w:p>
    <w:p>
      <w:pPr>
        <w:pStyle w:val="Heading2"/>
        <w:spacing w:before="280" w:after="280"/>
        <w:rPr>
          <w:color w:themeColor="text1" w:val="000000"/>
          <w:sz w:val="24"/>
          <w:szCs w:val="24"/>
          <w:lang w:val="sr-RS"/>
        </w:rPr>
      </w:pPr>
      <w:r>
        <w:rPr>
          <w:rStyle w:val="Strong"/>
          <w:b/>
          <w:bCs/>
          <w:color w:themeColor="text1" w:val="000000"/>
          <w:sz w:val="24"/>
          <w:szCs w:val="24"/>
          <w:lang w:val="sr-RS"/>
        </w:rPr>
        <w:t>8.2.8.5. Стамбена политика за младе породице</w:t>
      </w:r>
    </w:p>
    <w:p>
      <w:pPr>
        <w:pStyle w:val="NormalWeb"/>
        <w:spacing w:before="280" w:after="280"/>
        <w:rPr>
          <w:color w:themeColor="text1" w:val="000000"/>
          <w:lang w:val="sr-RS"/>
        </w:rPr>
      </w:pPr>
      <w:r>
        <w:rPr>
          <w:color w:themeColor="text1" w:val="000000"/>
          <w:lang w:val="sr-RS"/>
        </w:rPr>
        <w:t>Више институција (школе, ЛАГ, удружења) издвајају стамбену подршку као критичан фактор за задржавање младих:</w:t>
      </w:r>
    </w:p>
    <w:p>
      <w:pPr>
        <w:pStyle w:val="NormalWeb"/>
        <w:numPr>
          <w:ilvl w:val="0"/>
          <w:numId w:val="22"/>
        </w:numPr>
        <w:spacing w:before="280" w:after="0"/>
        <w:rPr>
          <w:color w:themeColor="text1" w:val="000000"/>
          <w:lang w:val="sr-RS"/>
        </w:rPr>
      </w:pPr>
      <w:r>
        <w:rPr>
          <w:color w:themeColor="text1" w:val="000000"/>
          <w:lang w:val="sr-RS"/>
        </w:rPr>
        <w:t>локалне субвенције за куповину или обнову првог стана,</w:t>
      </w:r>
    </w:p>
    <w:p>
      <w:pPr>
        <w:pStyle w:val="NormalWeb"/>
        <w:numPr>
          <w:ilvl w:val="0"/>
          <w:numId w:val="22"/>
        </w:numPr>
        <w:spacing w:before="0" w:after="0"/>
        <w:rPr>
          <w:color w:themeColor="text1" w:val="000000"/>
          <w:lang w:val="sr-RS"/>
        </w:rPr>
      </w:pPr>
      <w:r>
        <w:rPr>
          <w:color w:themeColor="text1" w:val="000000"/>
          <w:lang w:val="sr-RS"/>
        </w:rPr>
        <w:t>подршка реконструкцији кућа у руралним насељима,</w:t>
      </w:r>
    </w:p>
    <w:p>
      <w:pPr>
        <w:pStyle w:val="NormalWeb"/>
        <w:numPr>
          <w:ilvl w:val="0"/>
          <w:numId w:val="22"/>
        </w:numPr>
        <w:spacing w:before="0" w:after="280"/>
        <w:rPr>
          <w:color w:themeColor="text1" w:val="000000"/>
          <w:lang w:val="sr-RS"/>
        </w:rPr>
      </w:pPr>
      <w:r>
        <w:rPr>
          <w:color w:themeColor="text1" w:val="000000"/>
          <w:lang w:val="sr-RS"/>
        </w:rPr>
        <w:t>подстицање да се напуштене или празне куће ставе у функцију младих породица.</w:t>
      </w:r>
    </w:p>
    <w:p>
      <w:pPr>
        <w:pStyle w:val="NormalWeb"/>
        <w:spacing w:before="280" w:after="280"/>
        <w:rPr>
          <w:color w:themeColor="text1" w:val="000000"/>
          <w:lang w:val="sr-RS"/>
        </w:rPr>
      </w:pPr>
      <w:r>
        <w:rPr>
          <w:color w:themeColor="text1" w:val="000000"/>
          <w:lang w:val="sr-RS"/>
        </w:rPr>
        <w:t>Ове мере препознају се као кључ за дугорочно стабилизовање популације.</w:t>
      </w:r>
    </w:p>
    <w:p>
      <w:pPr>
        <w:pStyle w:val="Heading2"/>
        <w:spacing w:before="280" w:after="280"/>
        <w:rPr>
          <w:color w:themeColor="text1" w:val="000000"/>
          <w:sz w:val="24"/>
          <w:szCs w:val="24"/>
          <w:lang w:val="sr-RS"/>
        </w:rPr>
      </w:pPr>
      <w:r>
        <w:rPr>
          <w:rStyle w:val="Strong"/>
          <w:b/>
          <w:bCs/>
          <w:color w:themeColor="text1" w:val="000000"/>
          <w:sz w:val="24"/>
          <w:szCs w:val="24"/>
          <w:lang w:val="sr-RS"/>
        </w:rPr>
        <w:t>8.2.8.6. Инфраструктурни приоритети</w:t>
      </w:r>
    </w:p>
    <w:p>
      <w:pPr>
        <w:pStyle w:val="NormalWeb"/>
        <w:spacing w:before="280" w:after="280"/>
        <w:rPr>
          <w:color w:themeColor="text1" w:val="000000"/>
          <w:lang w:val="sr-RS"/>
        </w:rPr>
      </w:pPr>
      <w:r>
        <w:rPr>
          <w:color w:themeColor="text1" w:val="000000"/>
          <w:lang w:val="sr-RS"/>
        </w:rPr>
        <w:t>Институције се слажу да је неопходно:</w:t>
      </w:r>
    </w:p>
    <w:p>
      <w:pPr>
        <w:pStyle w:val="NormalWeb"/>
        <w:numPr>
          <w:ilvl w:val="0"/>
          <w:numId w:val="23"/>
        </w:numPr>
        <w:spacing w:before="280" w:after="0"/>
        <w:rPr>
          <w:color w:themeColor="text1" w:val="000000"/>
          <w:lang w:val="sr-RS"/>
        </w:rPr>
      </w:pPr>
      <w:r>
        <w:rPr>
          <w:color w:themeColor="text1" w:val="000000"/>
          <w:lang w:val="sr-RS"/>
        </w:rPr>
        <w:t>унапредити јавни превоз у руралним деловима,</w:t>
      </w:r>
    </w:p>
    <w:p>
      <w:pPr>
        <w:pStyle w:val="NormalWeb"/>
        <w:numPr>
          <w:ilvl w:val="0"/>
          <w:numId w:val="23"/>
        </w:numPr>
        <w:spacing w:before="0" w:after="0"/>
        <w:rPr>
          <w:color w:themeColor="text1" w:val="000000"/>
          <w:lang w:val="sr-RS"/>
        </w:rPr>
      </w:pPr>
      <w:r>
        <w:rPr>
          <w:color w:themeColor="text1" w:val="000000"/>
          <w:lang w:val="sr-RS"/>
        </w:rPr>
        <w:t>обезбедити стабилан интернет (оптичка мрежа),</w:t>
      </w:r>
    </w:p>
    <w:p>
      <w:pPr>
        <w:pStyle w:val="NormalWeb"/>
        <w:numPr>
          <w:ilvl w:val="0"/>
          <w:numId w:val="23"/>
        </w:numPr>
        <w:spacing w:before="0" w:after="0"/>
        <w:rPr>
          <w:color w:themeColor="text1" w:val="000000"/>
          <w:lang w:val="sr-RS"/>
        </w:rPr>
      </w:pPr>
      <w:r>
        <w:rPr>
          <w:color w:themeColor="text1" w:val="000000"/>
          <w:lang w:val="sr-RS"/>
        </w:rPr>
        <w:t>унапредити путеве, расвету и сигурност у околним селима,</w:t>
      </w:r>
    </w:p>
    <w:p>
      <w:pPr>
        <w:pStyle w:val="NormalWeb"/>
        <w:numPr>
          <w:ilvl w:val="0"/>
          <w:numId w:val="23"/>
        </w:numPr>
        <w:spacing w:before="0" w:after="280"/>
        <w:rPr>
          <w:color w:themeColor="text1" w:val="000000"/>
          <w:lang w:val="sr-RS"/>
        </w:rPr>
      </w:pPr>
      <w:r>
        <w:rPr>
          <w:color w:themeColor="text1" w:val="000000"/>
          <w:lang w:val="sr-RS"/>
        </w:rPr>
        <w:t>обезбедити боље услове за рад школа и установа.</w:t>
      </w:r>
    </w:p>
    <w:p>
      <w:pPr>
        <w:pStyle w:val="NormalWeb"/>
        <w:spacing w:before="280" w:after="280"/>
        <w:rPr>
          <w:color w:themeColor="text1" w:val="000000"/>
          <w:lang w:val="sr-RS"/>
        </w:rPr>
      </w:pPr>
      <w:r>
        <w:rPr>
          <w:color w:themeColor="text1" w:val="000000"/>
          <w:lang w:val="sr-RS"/>
        </w:rPr>
        <w:t>Недовољна инфраструктурна опремљеност директно утиче на квалитет живота и миграције.</w:t>
      </w:r>
    </w:p>
    <w:p>
      <w:pPr>
        <w:pStyle w:val="Heading2"/>
        <w:spacing w:before="280" w:after="280"/>
        <w:rPr>
          <w:color w:themeColor="text1" w:val="000000"/>
          <w:sz w:val="24"/>
          <w:szCs w:val="24"/>
          <w:lang w:val="sr-RS"/>
        </w:rPr>
      </w:pPr>
      <w:r>
        <w:rPr>
          <w:rStyle w:val="Strong"/>
          <w:b/>
          <w:bCs/>
          <w:color w:themeColor="text1" w:val="000000"/>
          <w:sz w:val="24"/>
          <w:szCs w:val="24"/>
          <w:lang w:val="sr-RS"/>
        </w:rPr>
        <w:t>8.2.8.7. Јачање локалних програма за младе, породице и заједницу</w:t>
      </w:r>
    </w:p>
    <w:p>
      <w:pPr>
        <w:pStyle w:val="NormalWeb"/>
        <w:spacing w:before="280" w:after="280"/>
        <w:rPr>
          <w:color w:themeColor="text1" w:val="000000"/>
          <w:lang w:val="sr-RS"/>
        </w:rPr>
      </w:pPr>
      <w:r>
        <w:rPr>
          <w:color w:themeColor="text1" w:val="000000"/>
          <w:lang w:val="sr-RS"/>
        </w:rPr>
        <w:t>КУД „Бриле“, Туристичка организација и удружења указују на потребу:</w:t>
      </w:r>
    </w:p>
    <w:p>
      <w:pPr>
        <w:pStyle w:val="NormalWeb"/>
        <w:numPr>
          <w:ilvl w:val="0"/>
          <w:numId w:val="24"/>
        </w:numPr>
        <w:spacing w:before="280" w:after="0"/>
        <w:rPr>
          <w:color w:themeColor="text1" w:val="000000"/>
          <w:lang w:val="sr-RS"/>
        </w:rPr>
      </w:pPr>
      <w:r>
        <w:rPr>
          <w:color w:themeColor="text1" w:val="000000"/>
          <w:lang w:val="sr-RS"/>
        </w:rPr>
        <w:t>организовања програма за породице и децу,</w:t>
      </w:r>
    </w:p>
    <w:p>
      <w:pPr>
        <w:pStyle w:val="NormalWeb"/>
        <w:numPr>
          <w:ilvl w:val="0"/>
          <w:numId w:val="24"/>
        </w:numPr>
        <w:spacing w:before="0" w:after="0"/>
        <w:rPr>
          <w:color w:themeColor="text1" w:val="000000"/>
          <w:lang w:val="sr-RS"/>
        </w:rPr>
      </w:pPr>
      <w:r>
        <w:rPr>
          <w:color w:themeColor="text1" w:val="000000"/>
          <w:lang w:val="sr-RS"/>
        </w:rPr>
        <w:t>развоја културних, спортских и омладинских садржаја,</w:t>
      </w:r>
    </w:p>
    <w:p>
      <w:pPr>
        <w:pStyle w:val="NormalWeb"/>
        <w:numPr>
          <w:ilvl w:val="0"/>
          <w:numId w:val="24"/>
        </w:numPr>
        <w:spacing w:before="0" w:after="0"/>
        <w:rPr>
          <w:color w:themeColor="text1" w:val="000000"/>
          <w:lang w:val="sr-RS"/>
        </w:rPr>
      </w:pPr>
      <w:r>
        <w:rPr>
          <w:color w:themeColor="text1" w:val="000000"/>
          <w:lang w:val="sr-RS"/>
        </w:rPr>
        <w:t>подршке програмима очувања традиције и локалног идентитета,</w:t>
      </w:r>
    </w:p>
    <w:p>
      <w:pPr>
        <w:pStyle w:val="NormalWeb"/>
        <w:numPr>
          <w:ilvl w:val="0"/>
          <w:numId w:val="24"/>
        </w:numPr>
        <w:spacing w:before="0" w:after="280"/>
        <w:rPr>
          <w:color w:themeColor="text1" w:val="000000"/>
          <w:lang w:val="sr-RS"/>
        </w:rPr>
      </w:pPr>
      <w:r>
        <w:rPr>
          <w:color w:themeColor="text1" w:val="000000"/>
          <w:lang w:val="sr-RS"/>
        </w:rPr>
        <w:t>подстицања активизма младих и жена у заједници.</w:t>
      </w:r>
    </w:p>
    <w:p>
      <w:pPr>
        <w:pStyle w:val="NormalWeb"/>
        <w:spacing w:before="280" w:after="280"/>
        <w:jc w:val="both"/>
        <w:rPr>
          <w:lang w:val="sr-RS"/>
        </w:rPr>
      </w:pPr>
      <w:r>
        <w:rPr>
          <w:color w:themeColor="text1" w:val="000000"/>
          <w:lang w:val="sr-RS"/>
        </w:rPr>
        <w:t>Ове мере имају двоструку функцију — побољшање квалитета живота и развој позитивне слике о Беочину као месту за останак и развој породице.</w:t>
      </w:r>
    </w:p>
    <w:p>
      <w:pPr>
        <w:pStyle w:val="Heading1"/>
        <w:rPr>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8.2.8.9 Закључак препорука институција</w:t>
      </w:r>
    </w:p>
    <w:p>
      <w:pPr>
        <w:pStyle w:val="NormalWeb"/>
        <w:spacing w:before="280" w:after="280"/>
        <w:jc w:val="both"/>
        <w:rPr>
          <w:lang w:val="sr-RS"/>
        </w:rPr>
      </w:pPr>
      <w:r>
        <w:rPr>
          <w:color w:themeColor="text1" w:val="000000"/>
          <w:lang w:val="sr-RS"/>
        </w:rPr>
        <w:t>Препоруке институција показују висок степен подударности и указују на јасну потребу за интерсекторским приступом у решавању демографских изазова општине Беочин. Иако ове институције припадају различитим секторима — образовању, здравству, социјалној заштити, руралном развоју, култури и цивилном друштву — њихови увиди су усаглашени и упућују на заједничко разумевање проблемa који утичу на квалитет живота породица, деце, младих и старијих. Све институције доследно наглашавају да се демографска питања не могу решити искључиво финансијским подстицајима, већ да је неопходна широка и координисана подршка која обухвата образовање, здравствене услуге, социјалну сигурност, инфраструктуру, економски развој и јачање заједнице.</w:t>
      </w:r>
    </w:p>
    <w:p>
      <w:pPr>
        <w:pStyle w:val="NormalWeb"/>
        <w:spacing w:before="280" w:after="280"/>
        <w:jc w:val="both"/>
        <w:rPr>
          <w:lang w:val="sr-RS"/>
        </w:rPr>
      </w:pPr>
      <w:r>
        <w:rPr>
          <w:color w:themeColor="text1" w:val="000000"/>
          <w:lang w:val="sr-RS"/>
        </w:rPr>
        <w:t>Такође, уочљиво је да институције препознају потребу за континуираном сарадњом и бољом повезаношћу међу секторима, како би мере популационе политике имале одржив и дугорочан ефекат. Препоруке се не односе само на проширење постојећих капацитета, већ и на подизање квалитета услуга — од боље опремљености школа и здравствених установа, преко развоја саветодавних и превентивних програма, до креирања економских и стамбених подстицаја који су усмерени ка младим породицама.</w:t>
      </w:r>
    </w:p>
    <w:p>
      <w:pPr>
        <w:pStyle w:val="NormalWeb"/>
        <w:spacing w:before="280" w:after="280"/>
        <w:jc w:val="both"/>
        <w:rPr>
          <w:lang w:val="sr-RS"/>
        </w:rPr>
      </w:pPr>
      <w:r>
        <w:rPr>
          <w:color w:themeColor="text1" w:val="000000"/>
          <w:lang w:val="sr-RS"/>
        </w:rPr>
        <w:t>Институције указују и на значај равномерног развоја руралних и урбаних делова општине, јер инфраструктурна ограничења, недовољна доступност јавних услуга и слаба економска активност у руралним срединама доприносе миграцијама и демографском паду. С тим у вези, њихови предлози обухватају мере које подстичу останак младих у локалној средини, унапређују услове за живот и рад, и креирају амбијент у којем породице имају подршку током читавог животног циклуса.</w:t>
      </w:r>
    </w:p>
    <w:p>
      <w:pPr>
        <w:pStyle w:val="NormalWeb"/>
        <w:spacing w:before="280" w:after="280"/>
        <w:jc w:val="both"/>
        <w:rPr>
          <w:lang w:val="sr-RS"/>
        </w:rPr>
      </w:pPr>
      <w:r>
        <w:rPr>
          <w:color w:themeColor="text1" w:val="000000"/>
          <w:lang w:val="sr-RS"/>
        </w:rPr>
        <w:t>Сумирано, препоруке институција представљају практичну, јасно дефинисану и применљиву основу за осмишљавање мера и активности у оквиру ЛАП-а. Оне пружају смернице за конкретне интервенције и указују на области које захтевају приоритетно деловање, уз могућност њиховог даљег прилагођавања расположивим ресурсима, стратешким приоритетима општине и реалним потребама становништва.</w:t>
      </w:r>
    </w:p>
    <w:p>
      <w:pPr>
        <w:pStyle w:val="Heading1"/>
        <w:rPr>
          <w:rFonts w:ascii="Times New Roman" w:hAnsi="Times New Roman" w:cs="Times New Roman"/>
          <w:color w:themeColor="text1" w:val="000000"/>
          <w:sz w:val="24"/>
          <w:szCs w:val="24"/>
          <w:lang w:val="sr-RS"/>
        </w:rPr>
      </w:pPr>
      <w:r>
        <w:rPr>
          <w:rStyle w:val="Strong"/>
          <w:rFonts w:cs="Times New Roman" w:ascii="Times New Roman" w:hAnsi="Times New Roman"/>
          <w:b w:val="false"/>
          <w:bCs w:val="false"/>
          <w:color w:themeColor="text1" w:val="000000"/>
          <w:sz w:val="24"/>
          <w:szCs w:val="24"/>
          <w:lang w:val="sr-RS"/>
        </w:rPr>
        <w:t>Табела 6: Препоручене мере институција</w:t>
      </w:r>
    </w:p>
    <w:tbl>
      <w:tblPr>
        <w:tblStyle w:val="GridTable4-Accent1"/>
        <w:tblW w:w="901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3640"/>
        <w:gridCol w:w="5375"/>
      </w:tblGrid>
      <w:tr>
        <w:trPr>
          <w:cnfStyle w:val="100000000000" w:firstRow="1" w:lastRow="0" w:firstColumn="0" w:lastColumn="0" w:oddVBand="0" w:evenVBand="0" w:oddHBand="0" w:evenHBand="0" w:firstRowFirstColumn="0" w:firstRowLastColumn="0" w:lastRowFirstColumn="0" w:lastRowLastColumn="0"/>
        </w:trPr>
        <w:tc>
          <w:tcPr>
            <w:tcW w:w="3640"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color w:themeColor="text1" w:val="000000"/>
                <w:lang w:val="sr-RS"/>
              </w:rPr>
            </w:pPr>
            <w:r>
              <w:rPr>
                <w:rStyle w:val="Strong"/>
                <w:b/>
                <w:bCs/>
                <w:color w:themeColor="text1" w:val="000000"/>
                <w:sz w:val="24"/>
                <w:szCs w:val="24"/>
                <w:lang w:val="sr-RS" w:bidi="ar-SA"/>
              </w:rPr>
              <w:t>Област</w:t>
            </w:r>
          </w:p>
        </w:tc>
        <w:tc>
          <w:tcPr>
            <w:tcW w:w="5375"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b w:val="false"/>
                <w:bCs w:val="false"/>
                <w:color w:themeColor="text1" w:val="000000"/>
                <w:lang w:val="sr-RS"/>
              </w:rPr>
            </w:pPr>
            <w:r>
              <w:rPr>
                <w:rStyle w:val="Strong"/>
                <w:b/>
                <w:bCs/>
                <w:color w:themeColor="text1" w:val="000000"/>
                <w:sz w:val="24"/>
                <w:szCs w:val="24"/>
                <w:lang w:val="sr-RS" w:bidi="ar-SA"/>
              </w:rPr>
              <w:t>Препоручене мере институција</w:t>
            </w:r>
          </w:p>
        </w:tc>
      </w:tr>
      <w:tr>
        <w:trPr>
          <w:cnfStyle w:val="000000100000" w:firstRow="0" w:lastRow="0" w:firstColumn="0" w:lastColumn="0" w:oddVBand="0" w:evenVBand="0" w:oddHBand="1" w:evenHBand="0" w:firstRowFirstColumn="0" w:firstRowLastColumn="0" w:lastRowFirstColumn="0" w:lastRowLastColumn="0"/>
        </w:trPr>
        <w:tc>
          <w:tcPr>
            <w:tcW w:w="3640"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b w:val="false"/>
                <w:bCs w:val="false"/>
                <w:color w:themeColor="text1" w:val="000000"/>
                <w:lang w:val="sr-RS"/>
              </w:rPr>
            </w:pPr>
            <w:r>
              <w:rPr>
                <w:rStyle w:val="Strong"/>
                <w:b/>
                <w:bCs/>
                <w:color w:themeColor="text1" w:val="000000"/>
                <w:sz w:val="24"/>
                <w:szCs w:val="24"/>
                <w:lang w:val="sr-RS" w:bidi="ar-SA"/>
              </w:rPr>
              <w:t>1. Образовање и предшколска подршка</w:t>
            </w:r>
          </w:p>
        </w:tc>
        <w:tc>
          <w:tcPr>
            <w:tcW w:w="5375"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Проширење капацитета вртића и отварање нових група</w:t>
              <w:br/>
              <w:t>• Адаптација простора за децу са сметњама у развоју</w:t>
              <w:br/>
              <w:t>• Повећање доступности вртића у руралним срединама</w:t>
              <w:br/>
              <w:t>• Подршка школама у опремању и дигитализацији</w:t>
              <w:br/>
              <w:t>• Унапређење ученичког превоза</w:t>
              <w:br/>
              <w:t>• Јачање сарадње школа и родитеља</w:t>
            </w:r>
          </w:p>
        </w:tc>
      </w:tr>
      <w:tr>
        <w:trPr/>
        <w:tc>
          <w:tcPr>
            <w:tcW w:w="3640"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2. Здравствене услуге за породице</w:t>
            </w:r>
          </w:p>
        </w:tc>
        <w:tc>
          <w:tcPr>
            <w:tcW w:w="5375"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Јачање педијатријских и гинеколошких капацитета</w:t>
              <w:br/>
              <w:t>• Унапређење патронажне службе</w:t>
              <w:br/>
              <w:t>• Увођење саветовалишта за родитеље и труднице</w:t>
              <w:br/>
              <w:t>• Проширење превентивних програма за жене</w:t>
              <w:br/>
              <w:t>• Боља подршка деци са сметњама у развоју (логопед, дефектолог, психолог)</w:t>
            </w:r>
          </w:p>
        </w:tc>
      </w:tr>
      <w:tr>
        <w:trPr>
          <w:cnfStyle w:val="000000100000" w:firstRow="0" w:lastRow="0" w:firstColumn="0" w:lastColumn="0" w:oddVBand="0" w:evenVBand="0" w:oddHBand="1" w:evenHBand="0" w:firstRowFirstColumn="0" w:firstRowLastColumn="0" w:lastRowFirstColumn="0" w:lastRowLastColumn="0"/>
        </w:trPr>
        <w:tc>
          <w:tcPr>
            <w:tcW w:w="3640"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3. Социјална заштита и услуге у заједници</w:t>
            </w:r>
          </w:p>
        </w:tc>
        <w:tc>
          <w:tcPr>
            <w:tcW w:w="5375"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Развој и проширење услуге „помоћ у кући“</w:t>
              <w:br/>
              <w:t>• Увођење дневних боравишта и личних пратилаца</w:t>
              <w:br/>
              <w:t>• Подршка самохраним родитељима</w:t>
              <w:br/>
              <w:t>• Подршка породицама са троје и више деце</w:t>
              <w:br/>
              <w:t>• Програми за старије у руралним деловима</w:t>
            </w:r>
          </w:p>
        </w:tc>
      </w:tr>
      <w:tr>
        <w:trPr/>
        <w:tc>
          <w:tcPr>
            <w:tcW w:w="3640"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4. Економска подршка и запошљавање младих</w:t>
            </w:r>
          </w:p>
        </w:tc>
        <w:tc>
          <w:tcPr>
            <w:tcW w:w="5375"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Програми подршке предузетништву младих родитеља</w:t>
              <w:br/>
              <w:t>• Локалне субвенције / олакшице за покретање бизниса</w:t>
              <w:br/>
              <w:t>• Сарадња са локалним привредницима и дуално образовање</w:t>
              <w:br/>
              <w:t>• Подстицање локалне производње и руралног туризма</w:t>
            </w:r>
          </w:p>
        </w:tc>
      </w:tr>
      <w:tr>
        <w:trPr>
          <w:cnfStyle w:val="000000100000" w:firstRow="0" w:lastRow="0" w:firstColumn="0" w:lastColumn="0" w:oddVBand="0" w:evenVBand="0" w:oddHBand="1" w:evenHBand="0" w:firstRowFirstColumn="0" w:firstRowLastColumn="0" w:lastRowFirstColumn="0" w:lastRowLastColumn="0"/>
        </w:trPr>
        <w:tc>
          <w:tcPr>
            <w:tcW w:w="3640"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5. Стамбена политика за младе</w:t>
            </w:r>
          </w:p>
        </w:tc>
        <w:tc>
          <w:tcPr>
            <w:tcW w:w="5375"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Субвенције за куповину првог стана</w:t>
              <w:br/>
              <w:t>• Подршка обнови кућа у руралним деловима</w:t>
              <w:br/>
              <w:t>• Активирање празних и напуштених кућа за младе породице</w:t>
            </w:r>
          </w:p>
        </w:tc>
      </w:tr>
      <w:tr>
        <w:trPr/>
        <w:tc>
          <w:tcPr>
            <w:tcW w:w="3640"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6. Инфраструктура</w:t>
            </w:r>
          </w:p>
        </w:tc>
        <w:tc>
          <w:tcPr>
            <w:tcW w:w="5375"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Унапређење јавног превоза у руралним насељима</w:t>
              <w:br/>
              <w:t>• Обезбеђивање стабилне интернет мреже (оптика)</w:t>
              <w:br/>
              <w:t>• Реконструкција путева, расвете и јавних површина</w:t>
              <w:br/>
              <w:t>• Бољи услови у школама и здравственим установама</w:t>
            </w:r>
          </w:p>
        </w:tc>
      </w:tr>
      <w:tr>
        <w:trPr>
          <w:cnfStyle w:val="000000100000" w:firstRow="0" w:lastRow="0" w:firstColumn="0" w:lastColumn="0" w:oddVBand="0" w:evenVBand="0" w:oddHBand="1" w:evenHBand="0" w:firstRowFirstColumn="0" w:firstRowLastColumn="0" w:lastRowFirstColumn="0" w:lastRowLastColumn="0"/>
        </w:trPr>
        <w:tc>
          <w:tcPr>
            <w:tcW w:w="3640"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rStyle w:val="Strong"/>
                <w:b/>
                <w:bCs/>
                <w:color w:themeColor="text1" w:val="000000"/>
                <w:sz w:val="24"/>
                <w:szCs w:val="24"/>
                <w:lang w:val="sr-RS" w:bidi="ar-SA"/>
              </w:rPr>
              <w:t>7. Програми за младе, породице и заједницу</w:t>
            </w:r>
          </w:p>
        </w:tc>
        <w:tc>
          <w:tcPr>
            <w:tcW w:w="5375"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 xml:space="preserve">• </w:t>
            </w:r>
            <w:r>
              <w:rPr>
                <w:color w:themeColor="text1" w:val="000000"/>
                <w:sz w:val="24"/>
                <w:szCs w:val="24"/>
                <w:lang w:val="sr-RS" w:bidi="ar-SA"/>
              </w:rPr>
              <w:t>Организација културних, спортских и породичних програма</w:t>
              <w:br/>
              <w:t>• Подршка очувању традиције у руралним срединама</w:t>
              <w:br/>
              <w:t>• Подстицање активизма младих и жена</w:t>
              <w:br/>
              <w:t>• Јачање локалног идентитета и заједништва</w:t>
            </w:r>
          </w:p>
        </w:tc>
      </w:tr>
    </w:tbl>
    <w:p>
      <w:pPr>
        <w:pStyle w:val="Normal"/>
        <w:rPr>
          <w:color w:themeColor="text1" w:val="000000"/>
          <w:lang w:val="sr-RS"/>
        </w:rPr>
      </w:pPr>
      <w:r>
        <w:rPr>
          <w:color w:themeColor="text1" w:val="000000"/>
          <w:lang w:val="sr-RS"/>
        </w:rPr>
      </w:r>
    </w:p>
    <w:p>
      <w:pPr>
        <w:pStyle w:val="Heading1"/>
        <w:numPr>
          <w:ilvl w:val="1"/>
          <w:numId w:val="8"/>
        </w:numPr>
        <w:rPr>
          <w:rStyle w:val="Strong"/>
          <w:rFonts w:ascii="Times New Roman" w:hAnsi="Times New Roman" w:cs="Times New Roman"/>
          <w:color w:themeColor="text1" w:val="000000"/>
          <w:sz w:val="24"/>
          <w:szCs w:val="24"/>
          <w:lang w:val="sr-RS"/>
        </w:rPr>
      </w:pPr>
      <w:r>
        <w:rPr>
          <w:rStyle w:val="Strong"/>
          <w:rFonts w:cs="Times New Roman" w:ascii="Times New Roman" w:hAnsi="Times New Roman"/>
          <w:color w:themeColor="text1" w:val="000000"/>
          <w:sz w:val="24"/>
          <w:szCs w:val="24"/>
          <w:lang w:val="sr-RS"/>
        </w:rPr>
        <w:t>АНАЛИЗА ПРИМАРНИХ ПОДАТАКА прикупљених од грађана</w:t>
      </w:r>
    </w:p>
    <w:p>
      <w:pPr>
        <w:pStyle w:val="NormalWeb"/>
        <w:spacing w:before="280" w:after="280"/>
        <w:jc w:val="both"/>
        <w:rPr>
          <w:lang w:val="sr-RS"/>
        </w:rPr>
      </w:pPr>
      <w:r>
        <w:rPr>
          <w:color w:themeColor="text1" w:val="000000"/>
          <w:lang w:val="sr-RS"/>
        </w:rPr>
        <w:t>У складу са методологијом израде Локалног акционог плана популационе политике општине Беочин, поред анализе званичних статистичких показатеља и података институција, прикупљени су и подаци од грађана путем структурираног упитника. Циљ овог корака био је да се добије увид у лично искуство становништва, њихову перцепцију демографских кретања, кључних проблема и очекивања од локалне самоуправе у области подршке породицама.</w:t>
      </w:r>
    </w:p>
    <w:p>
      <w:pPr>
        <w:pStyle w:val="NormalWeb"/>
        <w:spacing w:before="280" w:after="280"/>
        <w:jc w:val="both"/>
        <w:rPr>
          <w:lang w:val="sr-RS"/>
        </w:rPr>
      </w:pPr>
      <w:r>
        <w:rPr>
          <w:color w:themeColor="text1" w:val="000000"/>
          <w:lang w:val="sr-RS"/>
        </w:rPr>
        <w:t>Иако је број пристиглих упитника ограничен, одговори грађана представљају значајан квалитативни допринос анализи јер осветљавају аспекте који нису увек видљиви у институционалним подацима: ставове, потребе, мотивацију и препреке са којима се породице сусрећу у свакодневном животу. Овакав приступ омогућава да се мере и активности у ЛАП-у обликују не само на основу институционалних увида, већ и у складу са реалним очекивањима становништва, што доприноси њиховој релевантности и практичности.</w:t>
      </w:r>
      <w:r>
        <w:rPr>
          <w:lang w:val="sr-RS"/>
        </w:rPr>
        <w:t xml:space="preserve"> </w:t>
      </w:r>
      <w:r>
        <w:rPr>
          <w:color w:val="000000"/>
          <w:lang w:val="sr-RS"/>
        </w:rPr>
        <w:t>Подаци</w:t>
      </w:r>
      <w:r>
        <w:rPr>
          <w:color w:themeColor="text1" w:val="000000"/>
          <w:lang w:val="sr-RS"/>
        </w:rPr>
        <w:t xml:space="preserve"> добијени од грађана посебно су важни за разумевање локалног контекста јер, без обзира на величину узорка, указују на заједничке теме и обрасце који су препознати као кључни — од економске несигурности, преко услова за подизање деце, до доступности јавних услуга и очекивања у погледу подршке младим породицама. Због тога ови налази чине важну компоненту укупне демографске анализе и представљају драгоцену допуну подацима добијеним од институција.</w:t>
      </w:r>
    </w:p>
    <w:p>
      <w:pPr>
        <w:pStyle w:val="NormalWeb"/>
        <w:spacing w:before="280" w:after="280"/>
        <w:rPr>
          <w:b/>
          <w:bCs/>
          <w:color w:themeColor="text1" w:val="000000"/>
          <w:lang w:val="sr-RS"/>
        </w:rPr>
      </w:pPr>
      <w:r>
        <w:rPr>
          <w:b/>
          <w:bCs/>
          <w:color w:themeColor="text1" w:val="000000"/>
          <w:lang w:val="sr-RS"/>
        </w:rPr>
        <w:t xml:space="preserve">8.4.1 Профил учесника анкете </w:t>
      </w:r>
    </w:p>
    <w:p>
      <w:pPr>
        <w:pStyle w:val="NormalWeb"/>
        <w:spacing w:before="280" w:after="280"/>
        <w:jc w:val="both"/>
        <w:rPr>
          <w:lang w:val="sr-RS"/>
        </w:rPr>
      </w:pPr>
      <w:r>
        <w:rPr>
          <w:color w:themeColor="text1" w:val="000000"/>
          <w:lang w:val="sr-RS"/>
        </w:rPr>
        <w:t>У оквиру процеса прикупљања података од грађана, анализирани су одговори учесника различитог пола и старосних група. Иако је број анкетираних ограничен, узорак је довољно разноврстан да омогући увид у ставове становника у различитим животним фазама, што доприноси валидности квалитативне анализе.</w:t>
      </w:r>
    </w:p>
    <w:p>
      <w:pPr>
        <w:pStyle w:val="Heading2"/>
        <w:spacing w:before="280" w:after="280"/>
        <w:rPr>
          <w:color w:themeColor="text1" w:val="000000"/>
          <w:sz w:val="24"/>
          <w:szCs w:val="24"/>
          <w:lang w:val="sr-RS"/>
        </w:rPr>
      </w:pPr>
      <w:r>
        <w:rPr>
          <w:rStyle w:val="Strong"/>
          <w:rFonts w:eastAsia="" w:eastAsiaTheme="majorEastAsia"/>
          <w:b/>
          <w:bCs/>
          <w:color w:themeColor="text1" w:val="000000"/>
          <w:sz w:val="24"/>
          <w:szCs w:val="24"/>
          <w:lang w:val="sr-RS"/>
        </w:rPr>
        <w:t>8.4.1.1 Полна структура учесника</w:t>
      </w:r>
    </w:p>
    <w:p>
      <w:pPr>
        <w:pStyle w:val="NormalWeb"/>
        <w:spacing w:before="280" w:after="280"/>
        <w:jc w:val="both"/>
        <w:rPr>
          <w:lang w:val="sr-RS"/>
        </w:rPr>
      </w:pPr>
      <w:r>
        <w:rPr>
          <w:color w:themeColor="text1" w:val="000000"/>
          <w:lang w:val="sr-RS"/>
        </w:rPr>
        <w:t>У анкети су учествовали и жене и мушкарци, при чему је нешто већи удео женских учесника. Ова расподела је уобичајена за анкете које се баве темама породице, деце, услуга заједнице и општим квалитетом живота, јер жене чешће активно учествују у оваквим истраживањима.</w:t>
      </w:r>
    </w:p>
    <w:p>
      <w:pPr>
        <w:pStyle w:val="NormalWeb"/>
        <w:spacing w:before="0" w:after="280"/>
        <w:jc w:val="center"/>
        <w:rPr>
          <w:color w:themeColor="text1" w:val="000000"/>
          <w:lang w:val="sr-RS"/>
        </w:rPr>
      </w:pPr>
      <w:r>
        <w:rPr/>
        <w:drawing>
          <wp:inline distT="0" distB="0" distL="0" distR="0">
            <wp:extent cx="4336415" cy="1964690"/>
            <wp:effectExtent l="0" t="0" r="0" b="0"/>
            <wp:docPr id="8" name="Object5"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pStyle w:val="Heading2"/>
        <w:spacing w:before="280" w:after="280"/>
        <w:rPr>
          <w:color w:themeColor="text1" w:val="000000"/>
          <w:sz w:val="24"/>
          <w:szCs w:val="24"/>
          <w:lang w:val="sr-RS"/>
        </w:rPr>
      </w:pPr>
      <w:r>
        <w:rPr>
          <w:rStyle w:val="Strong"/>
          <w:rFonts w:eastAsia="" w:eastAsiaTheme="majorEastAsia"/>
          <w:b/>
          <w:bCs/>
          <w:color w:themeColor="text1" w:val="000000"/>
          <w:sz w:val="24"/>
          <w:szCs w:val="24"/>
          <w:lang w:val="sr-RS"/>
        </w:rPr>
        <w:t>8.4.1.2 Старосна структура учесника</w:t>
      </w:r>
    </w:p>
    <w:p>
      <w:pPr>
        <w:pStyle w:val="NormalWeb"/>
        <w:spacing w:before="280" w:after="280"/>
        <w:jc w:val="both"/>
        <w:rPr>
          <w:lang w:val="sr-RS"/>
        </w:rPr>
      </w:pPr>
      <w:r>
        <w:rPr>
          <w:color w:themeColor="text1" w:val="000000"/>
          <w:lang w:val="sr-RS"/>
        </w:rPr>
        <w:t>Учесници су распоређени у више старосних група, што омогућава да се прикупљени подаци интерпретирају из перспективе младих одраслих, родитеља са децом различитог узраста, као и старијих грађана. Оваква структура доприноси бољем разумевању потреба становника у различитим фазама животног циклуса.</w:t>
      </w:r>
    </w:p>
    <w:p>
      <w:pPr>
        <w:pStyle w:val="Heading3"/>
        <w:rPr>
          <w:rStyle w:val="Strong"/>
          <w:rFonts w:ascii="Times New Roman" w:hAnsi="Times New Roman" w:cs="Times New Roman"/>
          <w:b w:val="false"/>
          <w:bCs w:val="false"/>
          <w:color w:themeColor="text1" w:val="000000"/>
          <w:lang w:val="sr-RS"/>
        </w:rPr>
      </w:pPr>
      <w:r>
        <w:rPr>
          <w:rStyle w:val="Strong"/>
          <w:rFonts w:cs="Times New Roman" w:ascii="Times New Roman" w:hAnsi="Times New Roman"/>
          <w:b w:val="false"/>
          <w:bCs w:val="false"/>
          <w:color w:themeColor="text1" w:val="000000"/>
          <w:lang w:val="sr-RS"/>
        </w:rPr>
        <w:t>Табела 7: Жене – старосна структура</w:t>
      </w:r>
    </w:p>
    <w:p>
      <w:pPr>
        <w:pStyle w:val="Normal"/>
        <w:rPr>
          <w:color w:themeColor="text1" w:val="000000"/>
          <w:lang w:val="sr-RS"/>
        </w:rPr>
      </w:pPr>
      <w:r>
        <w:rPr>
          <w:color w:themeColor="text1" w:val="000000"/>
          <w:lang w:val="sr-RS"/>
        </w:rPr>
      </w:r>
    </w:p>
    <w:tbl>
      <w:tblPr>
        <w:tblStyle w:val="GridTable4-Accent1"/>
        <w:tblW w:w="4275"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38"/>
        <w:gridCol w:w="1736"/>
      </w:tblGrid>
      <w:tr>
        <w:trPr>
          <w:trHeight w:val="286" w:hRule="atLeast"/>
          <w:cnfStyle w:val="100000000000" w:firstRow="1" w:lastRow="0" w:firstColumn="0" w:lastColumn="0" w:oddVBand="0" w:evenVBand="0" w:oddHBand="0" w:evenHBand="0" w:firstRowFirstColumn="0" w:firstRowLastColumn="0" w:lastRowFirstColumn="0" w:lastRowLastColumn="0"/>
        </w:trPr>
        <w:tc>
          <w:tcPr>
            <w:tcW w:w="2538"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color w:themeColor="text1" w:val="000000"/>
                <w:lang w:val="sr-RS"/>
              </w:rPr>
            </w:pPr>
            <w:r>
              <w:rPr>
                <w:rStyle w:val="Strong"/>
                <w:b/>
                <w:bCs/>
                <w:color w:themeColor="text1" w:val="000000"/>
                <w:sz w:val="24"/>
                <w:szCs w:val="24"/>
                <w:lang w:val="sr-RS" w:bidi="ar-SA"/>
              </w:rPr>
              <w:t>Старосна група</w:t>
            </w:r>
          </w:p>
        </w:tc>
        <w:tc>
          <w:tcPr>
            <w:tcW w:w="1736"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b w:val="false"/>
                <w:bCs w:val="false"/>
                <w:color w:themeColor="text1" w:val="000000"/>
                <w:lang w:val="sr-RS"/>
              </w:rPr>
            </w:pPr>
            <w:r>
              <w:rPr>
                <w:rStyle w:val="Strong"/>
                <w:b/>
                <w:bCs/>
                <w:color w:themeColor="text1" w:val="000000"/>
                <w:sz w:val="24"/>
                <w:szCs w:val="24"/>
                <w:lang w:val="sr-RS" w:bidi="ar-SA"/>
              </w:rPr>
              <w:t>% учешћа</w:t>
            </w:r>
          </w:p>
        </w:tc>
      </w:tr>
      <w:tr>
        <w:trPr>
          <w:trHeight w:val="286" w:hRule="atLeast"/>
          <w:cnfStyle w:val="000000100000" w:firstRow="0" w:lastRow="0" w:firstColumn="0" w:lastColumn="0" w:oddVBand="0" w:evenVBand="0" w:oddHBand="1" w:evenHBand="0" w:firstRowFirstColumn="0" w:firstRowLastColumn="0" w:lastRowFirstColumn="0" w:lastRowLastColumn="0"/>
        </w:trPr>
        <w:tc>
          <w:tcPr>
            <w:tcW w:w="2538"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b w:val="false"/>
                <w:bCs w:val="false"/>
                <w:color w:themeColor="text1" w:val="000000"/>
                <w:lang w:val="sr-RS"/>
              </w:rPr>
            </w:pPr>
            <w:r>
              <w:rPr>
                <w:b w:val="false"/>
                <w:bCs w:val="false"/>
                <w:color w:themeColor="text1" w:val="000000"/>
                <w:sz w:val="24"/>
                <w:szCs w:val="24"/>
                <w:lang w:val="sr-RS" w:bidi="ar-SA"/>
              </w:rPr>
              <w:t>до 20 година</w:t>
            </w:r>
          </w:p>
        </w:tc>
        <w:tc>
          <w:tcPr>
            <w:tcW w:w="1736"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0%</w:t>
            </w:r>
          </w:p>
        </w:tc>
      </w:tr>
      <w:tr>
        <w:trPr>
          <w:trHeight w:val="286" w:hRule="atLeast"/>
        </w:trPr>
        <w:tc>
          <w:tcPr>
            <w:tcW w:w="2538"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21–30 година</w:t>
            </w:r>
          </w:p>
        </w:tc>
        <w:tc>
          <w:tcPr>
            <w:tcW w:w="1736"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8,3%</w:t>
            </w:r>
          </w:p>
        </w:tc>
      </w:tr>
      <w:tr>
        <w:trPr>
          <w:trHeight w:val="286" w:hRule="atLeast"/>
          <w:cnfStyle w:val="000000100000" w:firstRow="0" w:lastRow="0" w:firstColumn="0" w:lastColumn="0" w:oddVBand="0" w:evenVBand="0" w:oddHBand="1" w:evenHBand="0" w:firstRowFirstColumn="0" w:firstRowLastColumn="0" w:lastRowFirstColumn="0" w:lastRowLastColumn="0"/>
        </w:trPr>
        <w:tc>
          <w:tcPr>
            <w:tcW w:w="2538"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31–40 година</w:t>
            </w:r>
          </w:p>
        </w:tc>
        <w:tc>
          <w:tcPr>
            <w:tcW w:w="1736"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54,2%</w:t>
            </w:r>
          </w:p>
        </w:tc>
      </w:tr>
      <w:tr>
        <w:trPr>
          <w:trHeight w:val="286" w:hRule="atLeast"/>
        </w:trPr>
        <w:tc>
          <w:tcPr>
            <w:tcW w:w="2538"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41–50 година</w:t>
            </w:r>
          </w:p>
        </w:tc>
        <w:tc>
          <w:tcPr>
            <w:tcW w:w="1736"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25%</w:t>
            </w:r>
          </w:p>
        </w:tc>
      </w:tr>
      <w:tr>
        <w:trPr>
          <w:trHeight w:val="286" w:hRule="atLeast"/>
          <w:cnfStyle w:val="000000100000" w:firstRow="0" w:lastRow="0" w:firstColumn="0" w:lastColumn="0" w:oddVBand="0" w:evenVBand="0" w:oddHBand="1" w:evenHBand="0" w:firstRowFirstColumn="0" w:firstRowLastColumn="0" w:lastRowFirstColumn="0" w:lastRowLastColumn="0"/>
        </w:trPr>
        <w:tc>
          <w:tcPr>
            <w:tcW w:w="2538"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50+ година</w:t>
            </w:r>
          </w:p>
        </w:tc>
        <w:tc>
          <w:tcPr>
            <w:tcW w:w="1736"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12,5%</w:t>
            </w:r>
          </w:p>
        </w:tc>
      </w:tr>
    </w:tbl>
    <w:p>
      <w:pPr>
        <w:pStyle w:val="Normal"/>
        <w:rPr>
          <w:color w:themeColor="text1" w:val="000000"/>
          <w:lang w:val="sr-RS"/>
        </w:rPr>
      </w:pPr>
      <w:r>
        <w:rPr>
          <w:color w:themeColor="text1" w:val="000000"/>
          <w:lang w:val="sr-RS"/>
        </w:rPr>
      </w:r>
    </w:p>
    <w:p>
      <w:pPr>
        <w:pStyle w:val="Normal"/>
        <w:jc w:val="right"/>
        <w:rPr>
          <w:color w:themeColor="text1" w:val="000000"/>
          <w:lang w:val="sr-RS"/>
        </w:rPr>
      </w:pPr>
      <w:r>
        <w:rPr/>
        <w:drawing>
          <wp:inline distT="0" distB="0" distL="0" distR="0">
            <wp:extent cx="2915285" cy="1828800"/>
            <wp:effectExtent l="0" t="0" r="0" b="0"/>
            <wp:docPr id="9" name="Object6"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pStyle w:val="Normal"/>
        <w:numPr>
          <w:ilvl w:val="0"/>
          <w:numId w:val="0"/>
        </w:numPr>
        <w:spacing w:beforeAutospacing="1" w:afterAutospacing="1"/>
        <w:ind w:hanging="0" w:left="0"/>
        <w:outlineLvl w:val="2"/>
        <w:rPr>
          <w:color w:themeColor="text1" w:val="000000"/>
          <w:lang w:val="sr-RS"/>
        </w:rPr>
      </w:pPr>
      <w:r>
        <w:rPr>
          <w:color w:themeColor="text1" w:val="000000"/>
          <w:lang w:val="sr-RS"/>
        </w:rPr>
        <w:t>Табела 8: Мушкарци – старосна структура</w:t>
      </w:r>
    </w:p>
    <w:tbl>
      <w:tblPr>
        <w:tblStyle w:val="GridTable4-Accent1"/>
        <w:tblW w:w="32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927"/>
        <w:gridCol w:w="1334"/>
      </w:tblGrid>
      <w:tr>
        <w:trPr>
          <w:cnfStyle w:val="100000000000" w:firstRow="1" w:lastRow="0" w:firstColumn="0" w:lastColumn="0" w:oddVBand="0" w:evenVBand="0" w:oddHBand="0" w:evenHBand="0" w:firstRowFirstColumn="0" w:firstRowLastColumn="0" w:lastRowFirstColumn="0" w:lastRowLastColumn="0"/>
        </w:trPr>
        <w:tc>
          <w:tcPr>
            <w:tcW w:w="1927"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rPr>
                <w:color w:themeColor="text1" w:val="000000"/>
                <w:lang w:val="sr-RS"/>
              </w:rPr>
            </w:pPr>
            <w:r>
              <w:rPr>
                <w:b/>
                <w:bCs/>
                <w:color w:themeColor="text1" w:val="000000"/>
                <w:sz w:val="24"/>
                <w:szCs w:val="24"/>
                <w:lang w:val="sr-RS" w:bidi="ar-SA"/>
              </w:rPr>
              <w:t>Старосна група</w:t>
            </w:r>
          </w:p>
        </w:tc>
        <w:tc>
          <w:tcPr>
            <w:tcW w:w="1334"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center"/>
              <w:cnfStyle w:val="100000000000" w:firstRow="1" w:lastRow="0" w:firstColumn="0" w:lastColumn="0" w:oddVBand="0" w:evenVBand="0" w:oddHBand="0" w:evenHBand="0" w:firstRowFirstColumn="0" w:firstRowLastColumn="0" w:lastRowFirstColumn="0" w:lastRowLastColumn="0"/>
              <w:rPr>
                <w:color w:themeColor="text1" w:val="000000"/>
                <w:lang w:val="sr-RS"/>
              </w:rPr>
            </w:pPr>
            <w:r>
              <w:rPr>
                <w:b/>
                <w:bCs/>
                <w:color w:themeColor="text1" w:val="000000"/>
                <w:sz w:val="24"/>
                <w:szCs w:val="24"/>
                <w:lang w:val="sr-RS" w:bidi="ar-SA"/>
              </w:rPr>
              <w:t>% учешћа</w:t>
            </w:r>
          </w:p>
        </w:tc>
      </w:tr>
      <w:tr>
        <w:trPr>
          <w:cnfStyle w:val="000000100000" w:firstRow="0" w:lastRow="0" w:firstColumn="0" w:lastColumn="0" w:oddVBand="0" w:evenVBand="0" w:oddHBand="1" w:evenHBand="0" w:firstRowFirstColumn="0" w:firstRowLastColumn="0" w:lastRowFirstColumn="0" w:lastRowLastColumn="0"/>
        </w:trPr>
        <w:tc>
          <w:tcPr>
            <w:tcW w:w="1927"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b w:val="false"/>
                <w:bCs w:val="false"/>
                <w:color w:themeColor="text1" w:val="000000"/>
                <w:lang w:val="sr-RS"/>
              </w:rPr>
            </w:pPr>
            <w:r>
              <w:rPr>
                <w:b w:val="false"/>
                <w:bCs w:val="false"/>
                <w:color w:themeColor="text1" w:val="000000"/>
                <w:sz w:val="24"/>
                <w:szCs w:val="24"/>
                <w:lang w:val="sr-RS" w:bidi="ar-SA"/>
              </w:rPr>
              <w:t>до 20 година</w:t>
            </w:r>
          </w:p>
        </w:tc>
        <w:tc>
          <w:tcPr>
            <w:tcW w:w="1334"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0%</w:t>
            </w:r>
          </w:p>
        </w:tc>
      </w:tr>
      <w:tr>
        <w:trPr/>
        <w:tc>
          <w:tcPr>
            <w:tcW w:w="1927"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21–30 година</w:t>
            </w:r>
          </w:p>
        </w:tc>
        <w:tc>
          <w:tcPr>
            <w:tcW w:w="1334"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16,7%</w:t>
            </w:r>
          </w:p>
        </w:tc>
      </w:tr>
      <w:tr>
        <w:trPr>
          <w:cnfStyle w:val="000000100000" w:firstRow="0" w:lastRow="0" w:firstColumn="0" w:lastColumn="0" w:oddVBand="0" w:evenVBand="0" w:oddHBand="1" w:evenHBand="0" w:firstRowFirstColumn="0" w:firstRowLastColumn="0" w:lastRowFirstColumn="0" w:lastRowLastColumn="0"/>
        </w:trPr>
        <w:tc>
          <w:tcPr>
            <w:tcW w:w="1927"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31–40 година</w:t>
            </w:r>
          </w:p>
        </w:tc>
        <w:tc>
          <w:tcPr>
            <w:tcW w:w="1334"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41,6%</w:t>
            </w:r>
          </w:p>
        </w:tc>
      </w:tr>
      <w:tr>
        <w:trPr/>
        <w:tc>
          <w:tcPr>
            <w:tcW w:w="1927"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41–50 година</w:t>
            </w:r>
          </w:p>
        </w:tc>
        <w:tc>
          <w:tcPr>
            <w:tcW w:w="1334" w:type="dxa"/>
            <w:tcBorders/>
          </w:tcPr>
          <w:p>
            <w:pPr>
              <w:pStyle w:val="Normal"/>
              <w:widowControl w:val="false"/>
              <w:suppressAutoHyphens w:val="true"/>
              <w:spacing w:before="0" w:after="0"/>
              <w:jc w:val="left"/>
              <w:cnfStyle w:val="000000000000" w:firstRow="0" w:lastRow="0" w:firstColumn="0" w:lastColumn="0" w:oddVBand="0" w:evenVBand="0" w:oddHBand="0" w:evenHBand="0" w:firstRowFirstColumn="0" w:firstRowLastColumn="0" w:lastRowFirstColumn="0" w:lastRowLastColumn="0"/>
              <w:rPr>
                <w:color w:themeColor="text1" w:val="000000"/>
                <w:lang w:val="sr-RS"/>
              </w:rPr>
            </w:pPr>
            <w:r>
              <w:rPr>
                <w:color w:themeColor="text1" w:val="000000"/>
                <w:sz w:val="24"/>
                <w:szCs w:val="24"/>
                <w:lang w:val="sr-RS" w:bidi="ar-SA"/>
              </w:rPr>
              <w:t>25%</w:t>
            </w:r>
          </w:p>
        </w:tc>
      </w:tr>
      <w:tr>
        <w:trPr>
          <w:cnfStyle w:val="000000100000" w:firstRow="0" w:lastRow="0" w:firstColumn="0" w:lastColumn="0" w:oddVBand="0" w:evenVBand="0" w:oddHBand="1" w:evenHBand="0" w:firstRowFirstColumn="0" w:firstRowLastColumn="0" w:lastRowFirstColumn="0" w:lastRowLastColumn="0"/>
        </w:trPr>
        <w:tc>
          <w:tcPr>
            <w:tcW w:w="1927"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left"/>
              <w:rPr>
                <w:color w:themeColor="text1" w:val="000000"/>
                <w:lang w:val="sr-RS"/>
              </w:rPr>
            </w:pPr>
            <w:r>
              <w:rPr>
                <w:b/>
                <w:bCs/>
                <w:color w:themeColor="text1" w:val="000000"/>
                <w:sz w:val="24"/>
                <w:szCs w:val="24"/>
                <w:lang w:val="sr-RS" w:bidi="ar-SA"/>
              </w:rPr>
              <w:t>50+ година</w:t>
            </w:r>
          </w:p>
        </w:tc>
        <w:tc>
          <w:tcPr>
            <w:tcW w:w="1334" w:type="dxa"/>
            <w:tcBorders/>
            <w:shd w:color="auto" w:fill="D9E2F3" w:themeFill="accent1" w:themeFillTint="33" w:val="clear"/>
          </w:tcPr>
          <w:p>
            <w:pPr>
              <w:pStyle w:val="Normal"/>
              <w:widowControl w:val="false"/>
              <w:suppressAutoHyphens w:val="true"/>
              <w:spacing w:before="0" w:after="0"/>
              <w:jc w:val="left"/>
              <w:cnfStyle w:val="000000100000" w:firstRow="0" w:lastRow="0" w:firstColumn="0" w:lastColumn="0" w:oddVBand="0" w:evenVBand="0" w:oddHBand="1" w:evenHBand="0" w:firstRowFirstColumn="0" w:firstRowLastColumn="0" w:lastRowFirstColumn="0" w:lastRowLastColumn="0"/>
              <w:rPr>
                <w:color w:themeColor="text1" w:val="000000"/>
                <w:lang w:val="sr-RS"/>
              </w:rPr>
            </w:pPr>
            <w:r>
              <w:rPr>
                <w:color w:themeColor="text1" w:val="000000"/>
                <w:sz w:val="24"/>
                <w:szCs w:val="24"/>
                <w:lang w:val="sr-RS" w:bidi="ar-SA"/>
              </w:rPr>
              <w:t>16,7%</w:t>
            </w:r>
          </w:p>
        </w:tc>
      </w:tr>
    </w:tbl>
    <w:p>
      <w:pPr>
        <w:pStyle w:val="Normal"/>
        <w:rPr>
          <w:color w:themeColor="text1" w:val="000000"/>
          <w:lang w:val="sr-RS"/>
        </w:rPr>
      </w:pPr>
      <w:r>
        <w:rPr>
          <w:color w:themeColor="text1" w:val="000000"/>
          <w:lang w:val="sr-RS"/>
        </w:rPr>
      </w:r>
    </w:p>
    <w:p>
      <w:pPr>
        <w:pStyle w:val="Normal"/>
        <w:jc w:val="right"/>
        <w:rPr>
          <w:color w:themeColor="text1" w:val="000000"/>
          <w:lang w:val="sr-RS"/>
          <w14:ligatures w14:val="standardContextual"/>
        </w:rPr>
      </w:pPr>
      <w:r>
        <w:rPr/>
        <w:drawing>
          <wp:inline distT="0" distB="0" distL="0" distR="0">
            <wp:extent cx="3286125" cy="1801495"/>
            <wp:effectExtent l="0" t="0" r="0" b="0"/>
            <wp:docPr id="10" name="Object7" desc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pPr>
        <w:pStyle w:val="Heading2"/>
        <w:spacing w:before="280" w:after="280"/>
        <w:rPr>
          <w:color w:themeColor="text1" w:val="000000"/>
          <w:sz w:val="24"/>
          <w:szCs w:val="24"/>
          <w:lang w:val="sr-RS"/>
        </w:rPr>
      </w:pPr>
      <w:r>
        <w:rPr>
          <w:rStyle w:val="Strong"/>
          <w:b/>
          <w:bCs/>
          <w:color w:themeColor="text1" w:val="000000"/>
          <w:sz w:val="24"/>
          <w:szCs w:val="24"/>
          <w:lang w:val="sr-RS"/>
        </w:rPr>
        <w:t>8.4.1.3. Интерпретација структуре</w:t>
      </w:r>
    </w:p>
    <w:p>
      <w:pPr>
        <w:pStyle w:val="NormalWeb"/>
        <w:spacing w:before="280" w:after="280"/>
        <w:jc w:val="both"/>
        <w:rPr>
          <w:lang w:val="sr-RS"/>
        </w:rPr>
      </w:pPr>
      <w:r>
        <w:rPr>
          <w:color w:themeColor="text1" w:val="000000"/>
          <w:lang w:val="sr-RS"/>
        </w:rPr>
        <w:t>Полна и старосна структура анкетираних учесника указује на то да су у процес консултација били укључени грађани који се налазе у животним фазама које су најрелевантније за процену демографских потреба и изазова. Доминирају жене и мушкарци између 31 и 50 година, што је епицентар активног радног и породичног периода — период живота у ком се најчешће доносе одлуке о оснивању породице, проширењу домаћинства, пресељењу, избору вртића или школе, као и о балансирању пословних и породичних обавеза.</w:t>
      </w:r>
    </w:p>
    <w:p>
      <w:pPr>
        <w:pStyle w:val="NormalWeb"/>
        <w:spacing w:before="280" w:after="280"/>
        <w:jc w:val="both"/>
        <w:rPr>
          <w:lang w:val="sr-RS"/>
        </w:rPr>
      </w:pPr>
      <w:r>
        <w:rPr>
          <w:color w:themeColor="text1" w:val="000000"/>
          <w:lang w:val="sr-RS"/>
        </w:rPr>
        <w:t>Посебно је значајно учешће жена у репродуктивном добу (31–40 година), јер управо ова група најјасније препознаје потребе у области предшколског васпитања, подршке током трудноће, здравствених услуга за бебе и малу децу, као и у области стамбених и економских услова који утичу на одлуку о проширењу породице. Са друге стране, мушкарци у истом старосном распону доприносе балансираном сагледавању економских, радних и стамбених аспеката породичног живота, што је важно за разумевање шире слике о мотивацији младих породица да остану у локалној средини.</w:t>
      </w:r>
    </w:p>
    <w:p>
      <w:pPr>
        <w:pStyle w:val="NormalWeb"/>
        <w:spacing w:before="280" w:after="280"/>
        <w:jc w:val="both"/>
        <w:rPr>
          <w:lang w:val="sr-RS"/>
        </w:rPr>
      </w:pPr>
      <w:r>
        <w:rPr>
          <w:color w:themeColor="text1" w:val="000000"/>
          <w:lang w:val="sr-RS"/>
        </w:rPr>
        <w:t>Иако нема учесника млађих од 20 година, што је уобичајено за овакав тип анкета, присуство особа старијих од 50 година, мада ограничено, доприноси уочавању изазова који се односе на бригу о старијима, доступност здравствених услуга и квалитет живота у периоду након активног радног века. То даје додатну димензију анализи, јер се демографска питања нужно односе на све генерације, не само на младе.</w:t>
      </w:r>
    </w:p>
    <w:p>
      <w:pPr>
        <w:pStyle w:val="Heading2"/>
        <w:spacing w:before="280" w:after="280"/>
        <w:rPr>
          <w:color w:themeColor="text1" w:val="000000"/>
          <w:sz w:val="24"/>
          <w:szCs w:val="24"/>
          <w:lang w:val="sr-RS"/>
        </w:rPr>
      </w:pPr>
      <w:r>
        <w:rPr>
          <w:rStyle w:val="Strong"/>
          <w:b/>
          <w:bCs/>
          <w:color w:themeColor="text1" w:val="000000"/>
          <w:sz w:val="24"/>
          <w:szCs w:val="24"/>
          <w:lang w:val="sr-RS"/>
        </w:rPr>
        <w:t>8.4.1.4 Значај структуре узорка за даљу анализу</w:t>
      </w:r>
    </w:p>
    <w:p>
      <w:pPr>
        <w:pStyle w:val="NormalWeb"/>
        <w:spacing w:before="280" w:after="280"/>
        <w:jc w:val="both"/>
        <w:rPr>
          <w:color w:themeColor="text1" w:val="000000"/>
          <w:lang w:val="sr-RS"/>
        </w:rPr>
      </w:pPr>
      <w:r>
        <w:rPr>
          <w:color w:themeColor="text1" w:val="000000"/>
          <w:lang w:val="sr-RS"/>
        </w:rPr>
        <w:t>Овако дефинисана структура узорка, и поред ограниченог броја учесника, има значајну аналитичку вредност. Прво, јер обухвата управо оне старосне групе које се у пракси најчешће суочавају са тежишним демографским темама: запошљавањем, стамбеним питањима, подршком породицама са децом, избором образовних установа и организацијом породичног живота. Друго, зато што комбинација полова и старосних група омогућава да се уоче различите перспективе — женске, мушке, породичне, радне и интергенерацијске.</w:t>
      </w:r>
    </w:p>
    <w:p>
      <w:pPr>
        <w:pStyle w:val="NormalWeb"/>
        <w:spacing w:before="280" w:after="280"/>
        <w:jc w:val="both"/>
        <w:rPr>
          <w:lang w:val="sr-RS"/>
        </w:rPr>
      </w:pPr>
      <w:r>
        <w:rPr>
          <w:color w:themeColor="text1" w:val="000000"/>
          <w:lang w:val="sr-RS"/>
        </w:rPr>
        <w:t>Ови подаци, иако квалитативно оријентисани, допуњују институционалне увиде тако што осветљавају личне ставове, искуства и емоционалне факторе који често нису видљиви у службеној статистици. Управо ови елементи су кључни за разумевање мотивације грађана да остану у општини, да планирају проширење породице или, обрнуто, да разматрају одлазак. У том смислу, структура узорка даје важан контекст за интерпретацију осталих налаза и служи као основа за креирање мера које су усмерене на реалне потребе становништва.</w:t>
      </w:r>
    </w:p>
    <w:p>
      <w:pPr>
        <w:pStyle w:val="NormalWeb"/>
        <w:spacing w:before="280" w:after="280"/>
        <w:jc w:val="both"/>
        <w:rPr>
          <w:lang w:val="sr-RS"/>
        </w:rPr>
      </w:pPr>
      <w:r>
        <w:rPr>
          <w:color w:themeColor="text1" w:val="000000"/>
          <w:lang w:val="sr-RS"/>
        </w:rPr>
        <w:t>Сумирано, профил учесника анкете омогућава довољно репрезентативан приказ приоритетних група становништва у домену популационе политике, што га чини корисним и релевантним сегментом целокупне анализе.</w:t>
      </w:r>
    </w:p>
    <w:p>
      <w:pPr>
        <w:pStyle w:val="Normal"/>
        <w:rPr>
          <w:color w:themeColor="text1" w:val="000000"/>
          <w:lang w:val="sr-RS"/>
        </w:rPr>
      </w:pPr>
      <w:r>
        <w:rPr>
          <w:color w:themeColor="text1" w:val="000000"/>
          <w:lang w:val="sr-RS"/>
        </w:rPr>
      </w:r>
    </w:p>
    <w:p>
      <w:pPr>
        <w:pStyle w:val="Heading1"/>
        <w:rPr>
          <w:rFonts w:ascii="Times New Roman" w:hAnsi="Times New Roman" w:cs="Times New Roman"/>
          <w:color w:themeColor="text1" w:val="000000"/>
          <w:sz w:val="24"/>
          <w:szCs w:val="24"/>
          <w:lang w:val="sr-RS"/>
        </w:rPr>
      </w:pPr>
      <w:r>
        <w:rPr>
          <w:rFonts w:cs="Times New Roman" w:ascii="Times New Roman" w:hAnsi="Times New Roman"/>
          <w:b/>
          <w:bCs/>
          <w:color w:themeColor="text1" w:val="000000"/>
          <w:sz w:val="24"/>
          <w:szCs w:val="24"/>
          <w:lang w:val="sr-RS"/>
        </w:rPr>
        <w:t xml:space="preserve">8.5 </w:t>
      </w:r>
      <w:r>
        <w:rPr>
          <w:rStyle w:val="Strong"/>
          <w:rFonts w:cs="Times New Roman" w:ascii="Times New Roman" w:hAnsi="Times New Roman"/>
          <w:color w:themeColor="text1" w:val="000000"/>
          <w:sz w:val="24"/>
          <w:szCs w:val="24"/>
          <w:lang w:val="sr-RS"/>
        </w:rPr>
        <w:t>Анализа одговора грађана</w:t>
      </w:r>
    </w:p>
    <w:p>
      <w:pPr>
        <w:pStyle w:val="NormalWeb"/>
        <w:spacing w:before="280" w:after="280"/>
        <w:jc w:val="both"/>
        <w:rPr>
          <w:lang w:val="sr-RS"/>
        </w:rPr>
      </w:pPr>
      <w:r>
        <w:rPr>
          <w:color w:themeColor="text1" w:val="000000"/>
          <w:lang w:val="sr-RS"/>
        </w:rPr>
        <w:t>Анализа прикупљених одговора грађана указује на више заједничких образаца који се појављују у скоро свим упитницима, без обзира на пол, узраст или место становања. Ови одговори допуњују увиде добијене од институција и на квалитативан начин осветљавају реалне изазове са којима се породице и појединци сусрећу у општини Беочин.</w:t>
      </w:r>
    </w:p>
    <w:p>
      <w:pPr>
        <w:pStyle w:val="Heading2"/>
        <w:spacing w:before="280" w:after="280"/>
        <w:rPr>
          <w:color w:themeColor="text1" w:val="000000"/>
          <w:sz w:val="24"/>
          <w:szCs w:val="24"/>
          <w:lang w:val="sr-RS"/>
        </w:rPr>
      </w:pPr>
      <w:r>
        <w:rPr>
          <w:rStyle w:val="Strong"/>
          <w:b/>
          <w:bCs/>
          <w:color w:themeColor="text1" w:val="000000"/>
          <w:sz w:val="24"/>
          <w:szCs w:val="24"/>
          <w:lang w:val="sr-RS"/>
        </w:rPr>
        <w:t>8.5.1 Перцепција демографске ситуације</w:t>
      </w:r>
    </w:p>
    <w:p>
      <w:pPr>
        <w:pStyle w:val="NormalWeb"/>
        <w:spacing w:before="280" w:after="280"/>
        <w:jc w:val="both"/>
        <w:rPr>
          <w:lang w:val="sr-RS"/>
        </w:rPr>
      </w:pPr>
      <w:r>
        <w:rPr>
          <w:color w:themeColor="text1" w:val="000000"/>
          <w:lang w:val="sr-RS"/>
        </w:rPr>
        <w:t>На основу прикупљених анкета, већина грађана који су учествовали у истраживању оценила је демографску ситуацију у општини Беочин као неповољну. Одговори показују да испитаници имају утисак да се у општини у последњим годинама бележи пад броја становника, што повезују пре свега са ограниченим могућностима за запошљавање и недовољно развијеним локалним садржајима за младе и породице.</w:t>
      </w:r>
    </w:p>
    <w:p>
      <w:pPr>
        <w:pStyle w:val="NormalWeb"/>
        <w:spacing w:before="280" w:after="280"/>
        <w:jc w:val="both"/>
        <w:rPr>
          <w:lang w:val="sr-RS"/>
        </w:rPr>
      </w:pPr>
      <w:r>
        <w:rPr>
          <w:color w:themeColor="text1" w:val="000000"/>
          <w:lang w:val="sr-RS"/>
        </w:rPr>
        <w:t>Грађани наводе да је општина у демографском смислу у слабом положају, али да потенцијали постоје — посебно због близине Новог Сада, природних ресурса и традиције индустријског развоја. Као кључни проблеми најчешће су наведени економски услови, доступност услуга и инфраструктура, што, према њиховом мишљењу, утиче на укупну демографску привлачност општине.</w:t>
      </w:r>
    </w:p>
    <w:p>
      <w:pPr>
        <w:pStyle w:val="NormalWeb"/>
        <w:spacing w:before="280" w:after="280"/>
        <w:jc w:val="both"/>
        <w:rPr>
          <w:lang w:val="sr-RS"/>
        </w:rPr>
      </w:pPr>
      <w:r>
        <w:rPr>
          <w:color w:themeColor="text1" w:val="000000"/>
          <w:lang w:val="sr-RS"/>
        </w:rPr>
        <w:t>Анализа одговора грађана указује на неколико доминантних проблема који се најчешће појављују у анкетним листићима и који представљају темељни оквир за разумевање демографске ситуације у општини Беочин.</w:t>
      </w:r>
    </w:p>
    <w:p>
      <w:pPr>
        <w:pStyle w:val="Heading3"/>
        <w:jc w:val="both"/>
        <w:rPr>
          <w:rFonts w:ascii="Times New Roman" w:hAnsi="Times New Roman" w:cs="Times New Roman"/>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Недостатак вртића и образовне инфраструктуре (63,9% испитаника)</w:t>
      </w:r>
    </w:p>
    <w:p>
      <w:pPr>
        <w:pStyle w:val="NormalWeb"/>
        <w:spacing w:before="280" w:after="280"/>
        <w:jc w:val="both"/>
        <w:rPr>
          <w:lang w:val="sr-RS"/>
        </w:rPr>
      </w:pPr>
      <w:r>
        <w:rPr>
          <w:color w:themeColor="text1" w:val="000000"/>
          <w:lang w:val="sr-RS"/>
        </w:rPr>
        <w:t>Ово је један од најјаче изражених проблема у анкетама. Грађани истичу да је број места у вртићима недовољан, те да су капацитети оптерећени и инфраструктурно заостали. Посебно се помињу подручна одељења као простор који захтева обнову, бољу опремљеност и улагања у услове рада. Недостатак места у вртићима директно утиче на могућност родитеља да се врате на тржиште рада, што грађани препознају као један од фактора који утиче на планирање проширења породице.</w:t>
      </w:r>
    </w:p>
    <w:p>
      <w:pPr>
        <w:pStyle w:val="Heading3"/>
        <w:jc w:val="both"/>
        <w:rPr>
          <w:rFonts w:ascii="Times New Roman" w:hAnsi="Times New Roman" w:cs="Times New Roman"/>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Недовољна подршка породицама са децом (63,9% испитаника)</w:t>
      </w:r>
    </w:p>
    <w:p>
      <w:pPr>
        <w:pStyle w:val="NormalWeb"/>
        <w:spacing w:before="280" w:after="280"/>
        <w:jc w:val="both"/>
        <w:rPr>
          <w:lang w:val="sr-RS"/>
        </w:rPr>
      </w:pPr>
      <w:r>
        <w:rPr>
          <w:color w:themeColor="text1" w:val="000000"/>
          <w:lang w:val="sr-RS"/>
        </w:rPr>
        <w:t>Значајан број испитаника сматра да младе породице немају довољно системске подршке, како финансијске, тако и организационе. Наводе да мере и програми подршке нису довољно развијени, да су процедуре сложене и да недостају услуге саветовања, праћења и помоћи у најранијим фазама родитељства. Ово се посебно односи на родитеље са више деце, који имају веће трошкове и сложеније свакодневне потребе.</w:t>
      </w:r>
    </w:p>
    <w:p>
      <w:pPr>
        <w:pStyle w:val="Heading3"/>
        <w:rPr>
          <w:rFonts w:ascii="Times New Roman" w:hAnsi="Times New Roman" w:cs="Times New Roman"/>
          <w:color w:themeColor="text1" w:val="000000"/>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Економска несигурност (72,2% испитаника)</w:t>
      </w:r>
    </w:p>
    <w:p>
      <w:pPr>
        <w:pStyle w:val="NormalWeb"/>
        <w:spacing w:before="280" w:after="280"/>
        <w:jc w:val="both"/>
        <w:rPr>
          <w:lang w:val="sr-RS"/>
        </w:rPr>
      </w:pPr>
      <w:r>
        <w:rPr>
          <w:color w:themeColor="text1" w:val="000000"/>
          <w:lang w:val="sr-RS"/>
        </w:rPr>
        <w:t>Економски фактори су најчешће помињени у анкетама. Грађани упозоравају на ниске зараде, нестабилне приходе, високе трошкове живота и недостатак радних места која би омогућила дугорочно планирање породице. Економска несигурност се директно повезује са одлагањем родитељства, смањеним интересовањем за останак у општини и укупно негативним демографским трендовима.</w:t>
      </w:r>
    </w:p>
    <w:p>
      <w:pPr>
        <w:pStyle w:val="Heading3"/>
        <w:rPr>
          <w:rFonts w:ascii="Times New Roman" w:hAnsi="Times New Roman" w:cs="Times New Roman"/>
          <w:color w:themeColor="text1" w:val="000000"/>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Недостатак стамбеног простора (36,1% испитаника)</w:t>
      </w:r>
    </w:p>
    <w:p>
      <w:pPr>
        <w:pStyle w:val="NormalWeb"/>
        <w:spacing w:before="280" w:after="280"/>
        <w:jc w:val="both"/>
        <w:rPr>
          <w:lang w:val="sr-RS"/>
        </w:rPr>
      </w:pPr>
      <w:r>
        <w:rPr>
          <w:color w:themeColor="text1" w:val="000000"/>
          <w:lang w:val="sr-RS"/>
        </w:rPr>
        <w:t>Испитаници често наводе стамбена питања као велики проблем, како у погледу доступности и цена, тако и у погледу квалитета смештаја. Млади парови, према одговорима, често немају услове да се осамостале или купе сопствени стан, што утиче на одлуке о заснивању и проширењу породице. У појединим коментарима се помиње да је понуда ограничена, а цене неприлагођене стандардима локалног становништва.</w:t>
      </w:r>
    </w:p>
    <w:p>
      <w:pPr>
        <w:pStyle w:val="Heading3"/>
        <w:rPr>
          <w:rFonts w:ascii="Times New Roman" w:hAnsi="Times New Roman" w:cs="Times New Roman"/>
          <w:color w:themeColor="text1" w:val="000000"/>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Одлазак младих људи из општине (41,7% испитаника)</w:t>
      </w:r>
    </w:p>
    <w:p>
      <w:pPr>
        <w:pStyle w:val="NormalWeb"/>
        <w:spacing w:before="280" w:after="280"/>
        <w:jc w:val="both"/>
        <w:rPr>
          <w:lang w:val="sr-RS"/>
        </w:rPr>
      </w:pPr>
      <w:r>
        <w:rPr>
          <w:color w:themeColor="text1" w:val="000000"/>
          <w:lang w:val="sr-RS"/>
        </w:rPr>
        <w:t>Значајан број грађана истиче да млади одлазе због бољих услова школовања, већих могућности запослења и квалитетнијег животног стандарда у Новом Саду и другим урбаним центрима. Ово се у анкетама издваја као један од главних узрока демографског пада. Одлазак младих доводи до смањења броја породица у репродуктивном добу, што грађани перципирају као директан удар на демографску одрживост.</w:t>
      </w:r>
    </w:p>
    <w:p>
      <w:pPr>
        <w:pStyle w:val="Heading3"/>
        <w:jc w:val="both"/>
        <w:rPr>
          <w:rFonts w:ascii="Times New Roman" w:hAnsi="Times New Roman" w:cs="Times New Roman"/>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Запуштеност и неразвијеност инфраструктуре (често присутно у отвореним одговорима)</w:t>
      </w:r>
    </w:p>
    <w:p>
      <w:pPr>
        <w:pStyle w:val="NormalWeb"/>
        <w:spacing w:before="280" w:after="280"/>
        <w:jc w:val="both"/>
        <w:rPr>
          <w:lang w:val="sr-RS"/>
        </w:rPr>
      </w:pPr>
      <w:r>
        <w:rPr>
          <w:color w:themeColor="text1" w:val="000000"/>
          <w:lang w:val="sr-RS"/>
        </w:rPr>
        <w:t>Иако није увек формално заокружено као категорија, у коментарима се више пута појављују напомене о слабом развоју инфраструктуре — од улица, јавних површина и комуналних услуга до општег утиска стагнације у појединим деловима општине. Грађани сматрају да инфраструктурни услови снажно утичу на квалитет живота, а тиме и на одлуке младих породица да остану или оду.</w:t>
      </w:r>
    </w:p>
    <w:p>
      <w:pPr>
        <w:pStyle w:val="Heading3"/>
        <w:rPr>
          <w:rFonts w:ascii="Times New Roman" w:hAnsi="Times New Roman" w:cs="Times New Roman"/>
          <w:color w:themeColor="text1" w:val="000000"/>
          <w:lang w:val="sr-RS"/>
        </w:rPr>
      </w:pPr>
      <w:r>
        <w:rPr>
          <w:rStyle w:val="Strong"/>
          <w:rFonts w:cs="Times New Roman" w:ascii="Times New Roman" w:hAnsi="Times New Roman"/>
          <w:color w:themeColor="text1" w:val="000000"/>
          <w:lang w:val="sr-RS"/>
        </w:rPr>
        <w:t xml:space="preserve">• </w:t>
      </w:r>
      <w:r>
        <w:rPr>
          <w:rStyle w:val="Strong"/>
          <w:rFonts w:cs="Times New Roman" w:ascii="Times New Roman" w:hAnsi="Times New Roman"/>
          <w:color w:themeColor="text1" w:val="000000"/>
          <w:lang w:val="sr-RS"/>
        </w:rPr>
        <w:t>Осећај ограничених могућности и недостатка перспективе (појединачни одговори)</w:t>
      </w:r>
    </w:p>
    <w:p>
      <w:pPr>
        <w:pStyle w:val="NormalWeb"/>
        <w:spacing w:before="280" w:after="280"/>
        <w:jc w:val="both"/>
        <w:rPr>
          <w:lang w:val="sr-RS"/>
        </w:rPr>
      </w:pPr>
      <w:r>
        <w:rPr>
          <w:color w:themeColor="text1" w:val="000000"/>
          <w:lang w:val="sr-RS"/>
        </w:rPr>
        <w:t>Иако се јавља ређе од осталих, овај мотив се појединачно помиње у коментарима. Испитаници описују осећај да „општина не нуди довољно“, да су могућности ограничене и да млади не виде перспективу у средини у којој живе. Иако није доминантан, овај аспект значајан је за разумевање ширијег психолошког контекста демографских одлука.</w:t>
      </w:r>
    </w:p>
    <w:p>
      <w:pPr>
        <w:pStyle w:val="Heading1"/>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8.5.4 Предлози грађана за активности</w:t>
      </w:r>
    </w:p>
    <w:p>
      <w:pPr>
        <w:pStyle w:val="Normal"/>
        <w:jc w:val="both"/>
        <w:rPr>
          <w:color w:themeColor="text1" w:val="000000"/>
          <w:lang w:val="sr-RS"/>
        </w:rPr>
      </w:pPr>
      <w:r>
        <w:rPr>
          <w:color w:themeColor="text1" w:val="000000"/>
          <w:lang w:val="sr-RS"/>
        </w:rPr>
      </w:r>
    </w:p>
    <w:p>
      <w:pPr>
        <w:pStyle w:val="Normal"/>
        <w:spacing w:beforeAutospacing="1" w:afterAutospacing="1"/>
        <w:jc w:val="both"/>
        <w:rPr>
          <w:lang w:val="sr-RS"/>
        </w:rPr>
      </w:pPr>
      <w:r>
        <w:rPr>
          <w:color w:themeColor="text1" w:val="000000"/>
          <w:lang w:val="sr-RS"/>
        </w:rPr>
        <w:t>На основу одговора из попуњених анкета, издваја се више типова предлога који се могу груписати у тематске целине. Иако предлози нису бројни, јасно указују на области у којима грађани очекују да општина делује системски, видљиво и у сарадњи са другим секторима.</w:t>
      </w:r>
    </w:p>
    <w:p>
      <w:pPr>
        <w:pStyle w:val="Normal"/>
        <w:spacing w:beforeAutospacing="1" w:afterAutospacing="1"/>
        <w:jc w:val="both"/>
        <w:rPr>
          <w:lang w:val="sr-RS"/>
        </w:rPr>
      </w:pPr>
      <w:r>
        <w:rPr/>
      </w:r>
    </w:p>
    <w:p>
      <w:pPr>
        <w:pStyle w:val="ListParagraph"/>
        <w:numPr>
          <w:ilvl w:val="0"/>
          <w:numId w:val="35"/>
        </w:numPr>
        <w:spacing w:beforeAutospacing="1" w:afterAutospacing="1"/>
        <w:contextualSpacing/>
        <w:jc w:val="both"/>
        <w:outlineLvl w:val="2"/>
        <w:rPr>
          <w:lang w:val="sr-RS"/>
        </w:rPr>
      </w:pPr>
      <w:bookmarkStart w:id="0" w:name="_Toc216443304"/>
      <w:r>
        <w:rPr>
          <w:b/>
          <w:bCs/>
          <w:color w:themeColor="text1" w:val="000000"/>
          <w:lang w:val="sr-RS"/>
        </w:rPr>
        <w:t>Унапређење вртића, школа и услова за децу</w:t>
      </w:r>
      <w:bookmarkEnd w:id="0"/>
    </w:p>
    <w:p>
      <w:pPr>
        <w:pStyle w:val="Normal"/>
        <w:spacing w:beforeAutospacing="1" w:afterAutospacing="1"/>
        <w:jc w:val="both"/>
        <w:rPr>
          <w:lang w:val="sr-RS"/>
        </w:rPr>
      </w:pPr>
      <w:r>
        <w:rPr>
          <w:color w:themeColor="text1" w:val="000000"/>
          <w:lang w:val="sr-RS"/>
        </w:rPr>
        <w:t>Грађани посебно наглашавају потребу за повећањем капацитета вртића, улагањем у адаптацију и проширење постојећих објеката, као и боље опремање подручних одељења. Као конкретан предлог наводе увођење додатних група, бољу организацију пријема деце, унапређење безбедности и хигијене у установама, као и модернизацију школских кабинета. Овакве мере, према мишљењу грађана, имале би директан утицај на квалитет живота породица и могућност усаглашавања радних и породичних обавеза.</w:t>
      </w:r>
    </w:p>
    <w:p>
      <w:pPr>
        <w:pStyle w:val="ListParagraph"/>
        <w:numPr>
          <w:ilvl w:val="0"/>
          <w:numId w:val="34"/>
        </w:numPr>
        <w:spacing w:beforeAutospacing="1" w:afterAutospacing="1"/>
        <w:contextualSpacing/>
        <w:jc w:val="both"/>
        <w:outlineLvl w:val="2"/>
        <w:rPr>
          <w:lang w:val="sr-RS"/>
        </w:rPr>
      </w:pPr>
      <w:bookmarkStart w:id="1" w:name="_Toc216443305"/>
      <w:r>
        <w:rPr>
          <w:b/>
          <w:bCs/>
          <w:color w:themeColor="text1" w:val="000000"/>
          <w:lang w:val="sr-RS"/>
        </w:rPr>
        <w:t>Финансијска подршка младим родитељима и породицама</w:t>
      </w:r>
      <w:bookmarkEnd w:id="1"/>
    </w:p>
    <w:p>
      <w:pPr>
        <w:pStyle w:val="Normal"/>
        <w:spacing w:beforeAutospacing="1" w:afterAutospacing="1"/>
        <w:jc w:val="both"/>
        <w:rPr>
          <w:lang w:val="sr-RS"/>
        </w:rPr>
      </w:pPr>
      <w:r>
        <w:rPr>
          <w:color w:themeColor="text1" w:val="000000"/>
          <w:lang w:val="sr-RS"/>
        </w:rPr>
        <w:t>Један од често наведених предлога односи се на финансијске подстицаје: већи једнократни износ при рођењу детета, субвенције за комуналне услуге, смањење трошкова вртића, подршка за куповину школског прибора, као и посебне мере за самохране родитеље и породице са троје и више деце. Грађани истичу да би јасни и редовни подстицаји значајно олакшали одлуку о проширењу породице.</w:t>
      </w:r>
    </w:p>
    <w:p>
      <w:pPr>
        <w:pStyle w:val="ListParagraph"/>
        <w:numPr>
          <w:ilvl w:val="0"/>
          <w:numId w:val="33"/>
        </w:numPr>
        <w:spacing w:beforeAutospacing="1" w:afterAutospacing="1"/>
        <w:contextualSpacing/>
        <w:jc w:val="both"/>
        <w:outlineLvl w:val="2"/>
        <w:rPr>
          <w:lang w:val="sr-RS"/>
        </w:rPr>
      </w:pPr>
      <w:bookmarkStart w:id="2" w:name="_Toc216443306"/>
      <w:r>
        <w:rPr>
          <w:b/>
          <w:bCs/>
          <w:color w:themeColor="text1" w:val="000000"/>
          <w:lang w:val="sr-RS"/>
        </w:rPr>
        <w:t>Побољшање здравствених услуга</w:t>
      </w:r>
      <w:bookmarkEnd w:id="2"/>
    </w:p>
    <w:p>
      <w:pPr>
        <w:pStyle w:val="Normal"/>
        <w:spacing w:beforeAutospacing="1" w:afterAutospacing="1"/>
        <w:jc w:val="both"/>
        <w:rPr>
          <w:lang w:val="sr-RS"/>
        </w:rPr>
      </w:pPr>
      <w:r>
        <w:rPr>
          <w:color w:themeColor="text1" w:val="000000"/>
          <w:lang w:val="sr-RS"/>
        </w:rPr>
        <w:t xml:space="preserve">  </w:t>
      </w:r>
      <w:r>
        <w:rPr>
          <w:color w:themeColor="text1" w:val="000000"/>
          <w:lang w:val="sr-RS"/>
        </w:rPr>
        <w:t>Више одговора указује на потребу да општина подржи већи обим и доступност здравствених услуга. Као препоруке наводе увођење додатних термина за педијатре и гинекологе, јачање патронажне службе, обезбеђивање превентивних програма намењених трудницама и родитељима, као и бољу опремљеност постојећих здравствених амбуланти, нарочито у селима.</w:t>
      </w:r>
    </w:p>
    <w:p>
      <w:pPr>
        <w:pStyle w:val="ListParagraph"/>
        <w:numPr>
          <w:ilvl w:val="0"/>
          <w:numId w:val="32"/>
        </w:numPr>
        <w:spacing w:beforeAutospacing="1" w:afterAutospacing="1"/>
        <w:contextualSpacing/>
        <w:jc w:val="both"/>
        <w:outlineLvl w:val="2"/>
        <w:rPr>
          <w:lang w:val="sr-RS"/>
        </w:rPr>
      </w:pPr>
      <w:bookmarkStart w:id="3" w:name="_Toc216443307"/>
      <w:r>
        <w:rPr>
          <w:b/>
          <w:bCs/>
          <w:color w:themeColor="text1" w:val="000000"/>
          <w:lang w:val="sr-RS"/>
        </w:rPr>
        <w:t>Развој садржаја и програма за младе</w:t>
      </w:r>
      <w:bookmarkEnd w:id="3"/>
    </w:p>
    <w:p>
      <w:pPr>
        <w:pStyle w:val="Normal"/>
        <w:spacing w:beforeAutospacing="1" w:afterAutospacing="1"/>
        <w:jc w:val="both"/>
        <w:rPr>
          <w:color w:themeColor="text1" w:val="000000"/>
          <w:lang w:val="sr-RS"/>
        </w:rPr>
      </w:pPr>
      <w:r>
        <w:rPr>
          <w:color w:themeColor="text1" w:val="000000"/>
          <w:lang w:val="sr-RS"/>
        </w:rPr>
        <w:t>Грађани предлажу увођење организованих активности намењених младима: омладинских клубова, спортских секција, радионица, културних програма и бесплатних курсева (нпр. дигиталних вештина, страних језика). Недостатак квалитетних садржаја, према њиховом мишљењу, један је од разлога због кога млади не остају у Беочину, па видљиве активности усмерене на ову групу могу имати дугорочне позитивне ефекте.</w:t>
      </w:r>
    </w:p>
    <w:p>
      <w:pPr>
        <w:pStyle w:val="ListParagraph"/>
        <w:numPr>
          <w:ilvl w:val="0"/>
          <w:numId w:val="31"/>
        </w:numPr>
        <w:spacing w:beforeAutospacing="1" w:afterAutospacing="1"/>
        <w:contextualSpacing/>
        <w:jc w:val="both"/>
        <w:outlineLvl w:val="2"/>
        <w:rPr>
          <w:lang w:val="sr-RS"/>
        </w:rPr>
      </w:pPr>
      <w:bookmarkStart w:id="4" w:name="_Toc216443308"/>
      <w:r>
        <w:rPr>
          <w:b/>
          <w:bCs/>
          <w:color w:themeColor="text1" w:val="000000"/>
          <w:lang w:val="sr-RS"/>
        </w:rPr>
        <w:t>Уређење јавних површина и комунална улагања</w:t>
      </w:r>
      <w:bookmarkEnd w:id="4"/>
    </w:p>
    <w:p>
      <w:pPr>
        <w:pStyle w:val="Normal"/>
        <w:spacing w:beforeAutospacing="1" w:afterAutospacing="1"/>
        <w:jc w:val="both"/>
        <w:rPr>
          <w:lang w:val="sr-RS"/>
        </w:rPr>
      </w:pPr>
      <w:r>
        <w:rPr>
          <w:color w:themeColor="text1" w:val="000000"/>
          <w:lang w:val="sr-RS"/>
        </w:rPr>
        <w:t>Грађани наводе потребу за бољим одржавањем јавних површина, решавањем проблема депонија и комуналног отпада, уређењем дечјих игралишта, као и побољшањем јавне расвете. У појединим коментарима указује се на неопходност уређења стаза, паркова и простора за породичне активности. Ове мере грађани виде као предуслов квалитетног и безбедног окружења за децу и младе.</w:t>
      </w:r>
    </w:p>
    <w:p>
      <w:pPr>
        <w:pStyle w:val="ListParagraph"/>
        <w:numPr>
          <w:ilvl w:val="0"/>
          <w:numId w:val="30"/>
        </w:numPr>
        <w:spacing w:beforeAutospacing="1" w:afterAutospacing="1"/>
        <w:contextualSpacing/>
        <w:jc w:val="both"/>
        <w:outlineLvl w:val="2"/>
        <w:rPr>
          <w:lang w:val="sr-RS"/>
        </w:rPr>
      </w:pPr>
      <w:bookmarkStart w:id="5" w:name="_Toc216443309"/>
      <w:r>
        <w:rPr>
          <w:b/>
          <w:bCs/>
          <w:color w:themeColor="text1" w:val="000000"/>
          <w:lang w:val="sr-RS"/>
        </w:rPr>
        <w:t>Развој јавног превоза и боља повезаност сеоских насеља</w:t>
      </w:r>
      <w:bookmarkEnd w:id="5"/>
    </w:p>
    <w:p>
      <w:pPr>
        <w:pStyle w:val="Normal"/>
        <w:spacing w:beforeAutospacing="1" w:afterAutospacing="1"/>
        <w:jc w:val="both"/>
        <w:rPr>
          <w:lang w:val="sr-RS"/>
        </w:rPr>
      </w:pPr>
      <w:r>
        <w:rPr>
          <w:color w:themeColor="text1" w:val="000000"/>
          <w:lang w:val="sr-RS"/>
        </w:rPr>
        <w:t>Предложено је увођење редовнијих линија јавног превоза ка селима, боље повезивање са Новим Садом, као и субвенционисан превоз за одређене групе (ученике, труднице, старије). Грађани сматрају да је мобилност кључна за приступ услугама и останак младих породица у локалној средини.</w:t>
      </w:r>
    </w:p>
    <w:p>
      <w:pPr>
        <w:pStyle w:val="ListParagraph"/>
        <w:numPr>
          <w:ilvl w:val="0"/>
          <w:numId w:val="29"/>
        </w:numPr>
        <w:spacing w:beforeAutospacing="1" w:afterAutospacing="1"/>
        <w:contextualSpacing/>
        <w:jc w:val="both"/>
        <w:outlineLvl w:val="2"/>
        <w:rPr>
          <w:lang w:val="sr-RS"/>
        </w:rPr>
      </w:pPr>
      <w:bookmarkStart w:id="6" w:name="_Toc216443310"/>
      <w:r>
        <w:rPr>
          <w:b/>
          <w:bCs/>
          <w:color w:themeColor="text1" w:val="000000"/>
          <w:lang w:val="sr-RS"/>
        </w:rPr>
        <w:t>Јачање институционалне подршке породицама</w:t>
      </w:r>
      <w:bookmarkEnd w:id="6"/>
    </w:p>
    <w:p>
      <w:pPr>
        <w:pStyle w:val="Normal"/>
        <w:spacing w:beforeAutospacing="1" w:afterAutospacing="1"/>
        <w:jc w:val="both"/>
        <w:rPr>
          <w:lang w:val="sr-RS"/>
        </w:rPr>
      </w:pPr>
      <w:r>
        <w:rPr>
          <w:color w:themeColor="text1" w:val="000000"/>
          <w:lang w:val="sr-RS"/>
        </w:rPr>
        <w:t>Део испитаника истиче потребу за већом видљивошћу и доступношћу институционалне помоћи: боља координација здравства, социјалне службе и школских установа, једноставније процедуре, ефикаснији рад локалне администрације. Грађани желе систем који је транспарентан, предвидив и фокусиран на породицу, уместо модела у којем се, како кажу, „све мора решавати лично“.</w:t>
      </w:r>
    </w:p>
    <w:p>
      <w:pPr>
        <w:pStyle w:val="Heading1"/>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8.5.6 Синтетизовани закључак анализе одговора грађана</w:t>
      </w:r>
    </w:p>
    <w:p>
      <w:pPr>
        <w:pStyle w:val="NormalWeb"/>
        <w:spacing w:before="280" w:after="280"/>
        <w:jc w:val="both"/>
        <w:rPr>
          <w:lang w:val="sr-RS"/>
        </w:rPr>
      </w:pPr>
      <w:r>
        <w:rPr>
          <w:color w:themeColor="text1" w:val="000000"/>
          <w:lang w:val="sr-RS"/>
        </w:rPr>
        <w:t>Анализа прикупљених анкета грађана општине Беочин пружа јасну слику о томе како становници доживљавају кључне факторе који утичу на демографске трендове, посебно на ниску стопу наталитета и све присутнији негативни природни прираштај. Одговори су изразито усклађени у препознавању главних проблема који обликују демографску реалност локалне заједнице.</w:t>
      </w:r>
    </w:p>
    <w:p>
      <w:pPr>
        <w:pStyle w:val="NormalWeb"/>
        <w:spacing w:before="280" w:after="280"/>
        <w:jc w:val="both"/>
        <w:rPr>
          <w:lang w:val="sr-RS"/>
        </w:rPr>
      </w:pPr>
      <w:r>
        <w:rPr>
          <w:color w:themeColor="text1" w:val="000000"/>
          <w:lang w:val="sr-RS"/>
        </w:rPr>
        <w:t xml:space="preserve">Највећи број грађана као доминантни изазов наводи </w:t>
      </w:r>
      <w:r>
        <w:rPr>
          <w:rStyle w:val="Strong"/>
          <w:color w:themeColor="text1" w:val="000000"/>
          <w:lang w:val="sr-RS"/>
        </w:rPr>
        <w:t>економску несигурност</w:t>
      </w:r>
      <w:r>
        <w:rPr>
          <w:color w:themeColor="text1" w:val="000000"/>
          <w:lang w:val="sr-RS"/>
        </w:rPr>
        <w:t xml:space="preserve">, која се појављује у више од две трећине свих одговора. Ниске зараде, нестабилни послови, растући трошкови живота и генерално неповољно економско окружење препознати су као пресудни фактори у одлагању родитељства и умањењу спремности младих да остану у општини. Значајан проценат одговора указује и на </w:t>
      </w:r>
      <w:r>
        <w:rPr>
          <w:rStyle w:val="Strong"/>
          <w:color w:themeColor="text1" w:val="000000"/>
          <w:lang w:val="sr-RS"/>
        </w:rPr>
        <w:t>недовољну подршку породицама</w:t>
      </w:r>
      <w:r>
        <w:rPr>
          <w:color w:themeColor="text1" w:val="000000"/>
          <w:lang w:val="sr-RS"/>
        </w:rPr>
        <w:t>, што се огледа у потреби за већим обимом услуга намењених младим родитељима, као и за бољом организацијом институционалне подршке.</w:t>
      </w:r>
    </w:p>
    <w:p>
      <w:pPr>
        <w:pStyle w:val="NormalWeb"/>
        <w:spacing w:before="280" w:after="280"/>
        <w:jc w:val="both"/>
        <w:rPr>
          <w:lang w:val="sr-RS"/>
        </w:rPr>
      </w:pPr>
      <w:r>
        <w:rPr>
          <w:color w:themeColor="text1" w:val="000000"/>
          <w:lang w:val="sr-RS"/>
        </w:rPr>
        <w:t xml:space="preserve">Веома високо је рангиран и проблем </w:t>
      </w:r>
      <w:r>
        <w:rPr>
          <w:rStyle w:val="Strong"/>
          <w:color w:themeColor="text1" w:val="000000"/>
          <w:lang w:val="sr-RS"/>
        </w:rPr>
        <w:t>недостатка вртића и образовне инфраструктуре</w:t>
      </w:r>
      <w:r>
        <w:rPr>
          <w:color w:themeColor="text1" w:val="000000"/>
          <w:lang w:val="sr-RS"/>
        </w:rPr>
        <w:t xml:space="preserve">, што је препознато као директна препрека квалитетном организовању породичног живота, али и као фактор који утиче на дугорочну одлуку породица да остану у Беочину. Уз то, велики број грађана истиче </w:t>
      </w:r>
      <w:r>
        <w:rPr>
          <w:rStyle w:val="Strong"/>
          <w:color w:themeColor="text1" w:val="000000"/>
          <w:lang w:val="sr-RS"/>
        </w:rPr>
        <w:t>одлазак младих</w:t>
      </w:r>
      <w:r>
        <w:rPr>
          <w:color w:themeColor="text1" w:val="000000"/>
          <w:lang w:val="sr-RS"/>
        </w:rPr>
        <w:t xml:space="preserve"> као демографски тренд који значајно утиче на целокупан развој општине, док део становништва указује на општу </w:t>
      </w:r>
      <w:r>
        <w:rPr>
          <w:rStyle w:val="Strong"/>
          <w:color w:themeColor="text1" w:val="000000"/>
          <w:lang w:val="sr-RS"/>
        </w:rPr>
        <w:t>инфраструктурну запуштеност</w:t>
      </w:r>
      <w:r>
        <w:rPr>
          <w:color w:themeColor="text1" w:val="000000"/>
          <w:lang w:val="sr-RS"/>
        </w:rPr>
        <w:t>, посебно у руралним деловима.</w:t>
      </w:r>
    </w:p>
    <w:p>
      <w:pPr>
        <w:pStyle w:val="NormalWeb"/>
        <w:spacing w:before="280" w:after="280"/>
        <w:jc w:val="both"/>
        <w:rPr>
          <w:lang w:val="sr-RS"/>
        </w:rPr>
      </w:pPr>
      <w:r>
        <w:rPr>
          <w:color w:themeColor="text1" w:val="000000"/>
          <w:lang w:val="sr-RS"/>
        </w:rPr>
        <w:t>Сумирано, одговори грађана потврђују постојање више међусобно повезаних фактора који обликују демографску слику општине — економски, инфраструктурни, образовни и социјални. Перцепција грађана у великој мери кореспондира са налазима општине и институција, што повећава поузданост ове анализе. Ови ставови грађана представљају важан оријентир за креирање мера у оквиру Локалног акционог плана, посебно у делу који се односи на подршку породицама, улагања у инфраструктуру и стварање услова који би подстакли младе да остану и планирају будућност у Беочину.</w:t>
      </w:r>
    </w:p>
    <w:p>
      <w:pPr>
        <w:pStyle w:val="Heading1"/>
        <w:jc w:val="both"/>
        <w:rPr>
          <w:rFonts w:ascii="Times New Roman" w:hAnsi="Times New Roman" w:cs="Times New Roman"/>
          <w:sz w:val="24"/>
          <w:szCs w:val="24"/>
          <w:lang w:val="sr-RS"/>
        </w:rPr>
      </w:pPr>
      <w:r>
        <w:rPr>
          <w:rFonts w:cs="Times New Roman" w:ascii="Times New Roman" w:hAnsi="Times New Roman"/>
          <w:b/>
          <w:bCs/>
          <w:color w:themeColor="text1" w:val="000000"/>
          <w:sz w:val="24"/>
          <w:szCs w:val="24"/>
          <w:lang w:val="sr-RS"/>
        </w:rPr>
        <w:t xml:space="preserve">8.5.7 </w:t>
      </w:r>
      <w:r>
        <w:rPr>
          <w:rStyle w:val="Strong"/>
          <w:rFonts w:cs="Times New Roman" w:ascii="Times New Roman" w:hAnsi="Times New Roman"/>
          <w:color w:themeColor="text1" w:val="000000"/>
          <w:sz w:val="24"/>
          <w:szCs w:val="24"/>
          <w:lang w:val="sr-RS"/>
        </w:rPr>
        <w:t>Закључак анализе примарних података</w:t>
      </w:r>
    </w:p>
    <w:p>
      <w:pPr>
        <w:pStyle w:val="NormalWeb"/>
        <w:spacing w:before="280" w:after="280"/>
        <w:jc w:val="both"/>
        <w:rPr>
          <w:lang w:val="sr-RS"/>
        </w:rPr>
      </w:pPr>
      <w:r>
        <w:rPr>
          <w:color w:themeColor="text1" w:val="000000"/>
          <w:lang w:val="sr-RS"/>
        </w:rPr>
        <w:t>Анализа примарних података обухватила је три нивоа: информације достављене од стране локалне самоуправе, податке и процене релевантних институција, као и ставове грађана прикупљене путем упитника. Иако обим и дубина података варирају између ових извора, уочава се висок степен усаглашености око кључних демографских и социо-економских изазова који обликују живот у општини Беочин. Подаци општине указују на структурне проблеме попут старења становништва, миграција и ограничених образовних и социјалних капацитета, што представља основни оквир за разумевање демографских кретања.</w:t>
      </w:r>
    </w:p>
    <w:p>
      <w:pPr>
        <w:pStyle w:val="NormalWeb"/>
        <w:spacing w:before="280" w:after="280"/>
        <w:jc w:val="both"/>
        <w:rPr>
          <w:lang w:val="sr-RS"/>
        </w:rPr>
      </w:pPr>
      <w:r>
        <w:rPr>
          <w:color w:themeColor="text1" w:val="000000"/>
          <w:lang w:val="sr-RS"/>
        </w:rPr>
        <w:t>Институције својим увидима овај оквир додатно продубљују и пружају јасну слику о потребама на терену. Њихови одговори указују на недостатке у инфраструктури, ограничене здравствене и социјалне услуге, недовољне капацитете у предшколским установама, као и економске изазове који погађају младе породице. Исто тако, институције истичу значај интерсекторске сарадње и заједничког планирања, јер демографске изазове није могуће решавати изоловано у оквиру једне службе или сектора.</w:t>
      </w:r>
    </w:p>
    <w:p>
      <w:pPr>
        <w:pStyle w:val="NormalWeb"/>
        <w:spacing w:before="280" w:after="280"/>
        <w:jc w:val="both"/>
        <w:rPr>
          <w:lang w:val="sr-RS"/>
        </w:rPr>
      </w:pPr>
      <w:r>
        <w:rPr>
          <w:color w:themeColor="text1" w:val="000000"/>
          <w:lang w:val="sr-RS"/>
        </w:rPr>
        <w:t>Ставови грађана потврђују већину налаза институција и доприносе разумевању персоналних искустава и свакодневних препрека са којима се породице сусрећу. Грађани истичу економску несигурност, недостатак услуга за децу, слаб развој руралних делова, ограничења у школској и предшколској инфраструктури, као и недовољну подршку младим и вишечланим породицама. Важно је нагласити да су њихови предлози активности - финансијска подршка, бољи услови у вртићима и школама, подршка самохраним родитељима, унапређене здравствене услуге и активнија улога општине - у потпуности у складу са приоритетима које су навеле институције.</w:t>
      </w:r>
    </w:p>
    <w:p>
      <w:pPr>
        <w:pStyle w:val="NormalWeb"/>
        <w:spacing w:before="280" w:after="280"/>
        <w:jc w:val="both"/>
        <w:rPr>
          <w:lang w:val="sr-RS"/>
        </w:rPr>
      </w:pPr>
      <w:r>
        <w:rPr>
          <w:color w:themeColor="text1" w:val="000000"/>
          <w:lang w:val="sr-RS"/>
        </w:rPr>
        <w:t>Сумирано, анализа примарних података показује да сви актери препознају исте структурне проблеме: одлив младих, старење становништва, недовољне капацитете јавних услуга, економску нестабилност, инфраструктурна ограничења, као и потребу за систематском подршком породицама кроз више политика истовремено. Оваква подударност података из три извора представља поуздану и чврсту основу за израду мера и активности у ЛАП-у, јер потврђује да се проблеми јасно уочавају, доследно понављају и међусобно подржавају. Управо овај интегрисани увид омогућава да Локални акциони план буде заснован на реалним потребама заједнице и усмерен ка мерама које могу имати најефективнији и најодрживији демографски утицај у наредном периоду.</w:t>
      </w:r>
    </w:p>
    <w:p>
      <w:pPr>
        <w:pStyle w:val="Heading1"/>
        <w:numPr>
          <w:ilvl w:val="0"/>
          <w:numId w:val="1"/>
        </w:numPr>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УВОД У SWOT АНАЛИЗУ</w:t>
      </w:r>
    </w:p>
    <w:p>
      <w:pPr>
        <w:pStyle w:val="NormalWeb"/>
        <w:spacing w:before="280" w:after="280"/>
        <w:jc w:val="both"/>
        <w:rPr>
          <w:lang w:val="sr-RS"/>
        </w:rPr>
      </w:pPr>
      <w:r>
        <w:rPr>
          <w:color w:themeColor="text1" w:val="000000"/>
          <w:lang w:val="sr-RS"/>
        </w:rPr>
        <w:t>SWOT анализа представља синтетички преглед кључних налаза добијених из све три компоненте анализе примарних података – података општине, институција и грађана. Док претходна поглавља детаљно описују демографске, социо-економске, инфраструктурне и институционалне аспекте локалног контекста, SWOT анализа даје јасну и сажету слику у четири целине: снаге, слабости, шансе и претње.</w:t>
      </w:r>
    </w:p>
    <w:p>
      <w:pPr>
        <w:pStyle w:val="NormalWeb"/>
        <w:spacing w:before="280" w:after="280"/>
        <w:jc w:val="both"/>
        <w:rPr>
          <w:lang w:val="sr-RS"/>
        </w:rPr>
      </w:pPr>
      <w:r>
        <w:rPr>
          <w:color w:themeColor="text1" w:val="000000"/>
          <w:lang w:val="sr-RS"/>
        </w:rPr>
        <w:t>Ова анализа не понавља податке, већ их интегрише на стратешки ниво, омогућавајући формулисање приоритетних циљева и мера у ЛАП-у. Структура SWOT-а заснива се на стварним налазима — објективним показатељима, перцепцијама грађана и професионалним увиђајима институција. Циљ је да се на једном месту прикаже најважније: шта у општини представља потенцијал, шта је хроничан проблем, где постоји простор за деловање и шта носи ризике ако се у наредном периоду не предузму адекватне мере.</w:t>
      </w:r>
    </w:p>
    <w:p>
      <w:pPr>
        <w:pStyle w:val="NormalWeb"/>
        <w:spacing w:before="280" w:after="280"/>
        <w:jc w:val="both"/>
        <w:rPr>
          <w:lang w:val="sr-RS"/>
        </w:rPr>
      </w:pPr>
      <w:r>
        <w:rPr>
          <w:color w:themeColor="text1" w:val="000000"/>
          <w:lang w:val="sr-RS"/>
        </w:rPr>
        <w:t>SWOT анализа служи као полазиште за дефинисање приоритета популационе политике и биће основ за креирање циљева, мера и активности у наредним поглављима ЛАП-а.</w:t>
      </w:r>
    </w:p>
    <w:p>
      <w:pPr>
        <w:pStyle w:val="NormalWeb"/>
        <w:spacing w:before="280" w:after="280"/>
        <w:jc w:val="both"/>
        <w:rPr>
          <w:lang w:val="sr-RS"/>
        </w:rPr>
      </w:pPr>
      <w:r>
        <w:rPr>
          <w:b/>
          <w:bCs/>
          <w:color w:themeColor="text1" w:val="000000"/>
          <w:lang w:val="sr-RS"/>
        </w:rPr>
        <w:t>9.1</w:t>
      </w:r>
      <w:r>
        <w:rPr>
          <w:color w:themeColor="text1" w:val="000000"/>
          <w:lang w:val="sr-RS"/>
        </w:rPr>
        <w:t xml:space="preserve"> </w:t>
      </w:r>
      <w:r>
        <w:rPr>
          <w:rStyle w:val="Strong"/>
          <w:color w:themeColor="text1" w:val="000000"/>
          <w:lang w:val="sr-RS"/>
        </w:rPr>
        <w:t>SWOT анализа</w:t>
      </w:r>
    </w:p>
    <w:tbl>
      <w:tblPr>
        <w:tblStyle w:val="TableGrid"/>
        <w:tblW w:w="901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508"/>
        <w:gridCol w:w="4507"/>
      </w:tblGrid>
      <w:tr>
        <w:trPr/>
        <w:tc>
          <w:tcPr>
            <w:tcW w:w="4508" w:type="dxa"/>
            <w:tcBorders/>
          </w:tcPr>
          <w:p>
            <w:pPr>
              <w:pStyle w:val="Heading2"/>
              <w:widowControl w:val="false"/>
              <w:suppressAutoHyphens w:val="true"/>
              <w:spacing w:before="0" w:after="280"/>
              <w:jc w:val="both"/>
              <w:rPr>
                <w:sz w:val="24"/>
                <w:szCs w:val="24"/>
                <w:lang w:val="sr-RS"/>
              </w:rPr>
            </w:pPr>
            <w:r>
              <w:rPr>
                <w:rStyle w:val="Strong"/>
                <w:b/>
                <w:bCs/>
                <w:color w:themeColor="text1" w:val="000000"/>
                <w:sz w:val="24"/>
                <w:szCs w:val="24"/>
                <w:lang w:val="sr-RS" w:bidi="ar-SA"/>
              </w:rPr>
              <w:t>СНАГЕ (Strengths)</w:t>
            </w:r>
          </w:p>
          <w:p>
            <w:pPr>
              <w:pStyle w:val="NormalWeb"/>
              <w:widowControl w:val="false"/>
              <w:suppressAutoHyphens w:val="true"/>
              <w:spacing w:before="280" w:after="280"/>
              <w:jc w:val="both"/>
              <w:rPr>
                <w:lang w:val="sr-RS"/>
              </w:rPr>
            </w:pPr>
            <w:r>
              <w:rPr>
                <w:rStyle w:val="Strong"/>
                <w:color w:themeColor="text1" w:val="000000"/>
                <w:sz w:val="24"/>
                <w:szCs w:val="24"/>
                <w:lang w:val="sr-RS" w:bidi="ar-SA"/>
              </w:rPr>
              <w:t>Унутрашњи позитивни фактори који могу да подрже спровођење ЛАП-а</w:t>
            </w:r>
          </w:p>
          <w:p>
            <w:pPr>
              <w:pStyle w:val="NormalWeb"/>
              <w:widowControl w:val="false"/>
              <w:numPr>
                <w:ilvl w:val="0"/>
                <w:numId w:val="25"/>
              </w:numPr>
              <w:suppressAutoHyphens w:val="true"/>
              <w:spacing w:before="280" w:after="0"/>
              <w:jc w:val="both"/>
              <w:rPr>
                <w:lang w:val="sr-RS"/>
              </w:rPr>
            </w:pPr>
            <w:r>
              <w:rPr>
                <w:color w:themeColor="text1" w:val="000000"/>
                <w:sz w:val="24"/>
                <w:szCs w:val="24"/>
                <w:lang w:val="sr-RS" w:bidi="ar-SA"/>
              </w:rPr>
              <w:t>Развијена индустријска традиција (цементара као носилац привреде).</w:t>
            </w:r>
          </w:p>
          <w:p>
            <w:pPr>
              <w:pStyle w:val="NormalWeb"/>
              <w:widowControl w:val="false"/>
              <w:numPr>
                <w:ilvl w:val="0"/>
                <w:numId w:val="25"/>
              </w:numPr>
              <w:suppressAutoHyphens w:val="true"/>
              <w:spacing w:before="0" w:after="0"/>
              <w:jc w:val="both"/>
              <w:rPr>
                <w:lang w:val="sr-RS"/>
              </w:rPr>
            </w:pPr>
            <w:r>
              <w:rPr>
                <w:color w:themeColor="text1" w:val="000000"/>
                <w:sz w:val="24"/>
                <w:szCs w:val="24"/>
                <w:lang w:val="sr-RS" w:bidi="ar-SA"/>
              </w:rPr>
              <w:t>Географска близина Новог Сада - приступ тржишту рада и ширем спектру услуга.</w:t>
            </w:r>
          </w:p>
          <w:p>
            <w:pPr>
              <w:pStyle w:val="NormalWeb"/>
              <w:widowControl w:val="false"/>
              <w:numPr>
                <w:ilvl w:val="0"/>
                <w:numId w:val="25"/>
              </w:numPr>
              <w:suppressAutoHyphens w:val="true"/>
              <w:spacing w:before="0" w:after="0"/>
              <w:jc w:val="both"/>
              <w:rPr>
                <w:lang w:val="sr-RS"/>
              </w:rPr>
            </w:pPr>
            <w:r>
              <w:rPr>
                <w:color w:themeColor="text1" w:val="000000"/>
                <w:sz w:val="24"/>
                <w:szCs w:val="24"/>
                <w:lang w:val="sr-RS" w:bidi="ar-SA"/>
              </w:rPr>
              <w:t>Постojeћи систем институција (школе, вртић, Дом здравља, ЦСР) са професионалним кадром.</w:t>
            </w:r>
          </w:p>
          <w:p>
            <w:pPr>
              <w:pStyle w:val="NormalWeb"/>
              <w:widowControl w:val="false"/>
              <w:numPr>
                <w:ilvl w:val="0"/>
                <w:numId w:val="25"/>
              </w:numPr>
              <w:suppressAutoHyphens w:val="true"/>
              <w:spacing w:before="0" w:after="0"/>
              <w:jc w:val="both"/>
              <w:rPr>
                <w:lang w:val="sr-RS"/>
              </w:rPr>
            </w:pPr>
            <w:r>
              <w:rPr>
                <w:color w:themeColor="text1" w:val="000000"/>
                <w:sz w:val="24"/>
                <w:szCs w:val="24"/>
                <w:lang w:val="sr-RS" w:bidi="ar-SA"/>
              </w:rPr>
              <w:t>Активне организације цивилног друштва и културне групе, које подржавају заједницу.</w:t>
            </w:r>
          </w:p>
          <w:p>
            <w:pPr>
              <w:pStyle w:val="NormalWeb"/>
              <w:widowControl w:val="false"/>
              <w:numPr>
                <w:ilvl w:val="0"/>
                <w:numId w:val="25"/>
              </w:numPr>
              <w:suppressAutoHyphens w:val="true"/>
              <w:spacing w:before="0" w:after="0"/>
              <w:jc w:val="both"/>
              <w:rPr>
                <w:lang w:val="sr-RS"/>
              </w:rPr>
            </w:pPr>
            <w:r>
              <w:rPr>
                <w:color w:themeColor="text1" w:val="000000"/>
                <w:sz w:val="24"/>
                <w:szCs w:val="24"/>
                <w:lang w:val="sr-RS" w:bidi="ar-SA"/>
              </w:rPr>
              <w:t>Постојање развојних докумената и локалне акционе групе (Фрушка гора - Дунав).</w:t>
            </w:r>
          </w:p>
          <w:p>
            <w:pPr>
              <w:pStyle w:val="NormalWeb"/>
              <w:widowControl w:val="false"/>
              <w:numPr>
                <w:ilvl w:val="0"/>
                <w:numId w:val="25"/>
              </w:numPr>
              <w:suppressAutoHyphens w:val="true"/>
              <w:spacing w:before="0" w:after="0"/>
              <w:jc w:val="both"/>
              <w:rPr>
                <w:lang w:val="sr-RS"/>
              </w:rPr>
            </w:pPr>
            <w:r>
              <w:rPr>
                <w:color w:themeColor="text1" w:val="000000"/>
                <w:sz w:val="24"/>
                <w:szCs w:val="24"/>
                <w:lang w:val="sr-RS" w:bidi="ar-SA"/>
              </w:rPr>
              <w:t>Добар природни и туристички потенцијал (Фрушка гора, Дунав, рурални амбијент).</w:t>
            </w:r>
          </w:p>
          <w:p>
            <w:pPr>
              <w:pStyle w:val="NormalWeb"/>
              <w:widowControl w:val="false"/>
              <w:numPr>
                <w:ilvl w:val="0"/>
                <w:numId w:val="25"/>
              </w:numPr>
              <w:suppressAutoHyphens w:val="true"/>
              <w:spacing w:before="0" w:after="280"/>
              <w:jc w:val="both"/>
              <w:rPr>
                <w:lang w:val="sr-RS"/>
              </w:rPr>
            </w:pPr>
            <w:r>
              <w:rPr>
                <w:color w:themeColor="text1" w:val="000000"/>
                <w:sz w:val="24"/>
                <w:szCs w:val="24"/>
                <w:lang w:val="sr-RS" w:bidi="ar-SA"/>
              </w:rPr>
              <w:t>Изражена спремност институција за сарадњу и заједничко деловање на ЛАП-у.</w:t>
            </w:r>
          </w:p>
          <w:p>
            <w:pPr>
              <w:pStyle w:val="NormalWeb"/>
              <w:widowControl w:val="false"/>
              <w:suppressAutoHyphens w:val="true"/>
              <w:spacing w:before="280" w:after="0"/>
              <w:jc w:val="both"/>
              <w:rPr>
                <w:color w:themeColor="text1" w:val="000000"/>
                <w:lang w:val="sr-RS"/>
              </w:rPr>
            </w:pPr>
            <w:r>
              <w:rPr>
                <w:color w:themeColor="text1" w:val="000000"/>
                <w:lang w:val="sr-RS"/>
              </w:rPr>
            </w:r>
          </w:p>
        </w:tc>
        <w:tc>
          <w:tcPr>
            <w:tcW w:w="4507" w:type="dxa"/>
            <w:tcBorders/>
          </w:tcPr>
          <w:p>
            <w:pPr>
              <w:pStyle w:val="Heading2"/>
              <w:widowControl w:val="false"/>
              <w:suppressAutoHyphens w:val="true"/>
              <w:spacing w:before="0" w:after="280"/>
              <w:jc w:val="both"/>
              <w:rPr>
                <w:sz w:val="24"/>
                <w:szCs w:val="24"/>
                <w:lang w:val="sr-RS"/>
              </w:rPr>
            </w:pPr>
            <w:r>
              <w:rPr>
                <w:rStyle w:val="Strong"/>
                <w:b/>
                <w:bCs/>
                <w:color w:themeColor="text1" w:val="000000"/>
                <w:sz w:val="24"/>
                <w:szCs w:val="24"/>
                <w:lang w:val="sr-RS" w:bidi="ar-SA"/>
              </w:rPr>
              <w:t>СЛАБОСТИ (Weaknesses)</w:t>
            </w:r>
          </w:p>
          <w:p>
            <w:pPr>
              <w:pStyle w:val="NormalWeb"/>
              <w:widowControl w:val="false"/>
              <w:suppressAutoHyphens w:val="true"/>
              <w:spacing w:before="280" w:after="280"/>
              <w:jc w:val="both"/>
              <w:rPr>
                <w:lang w:val="sr-RS"/>
              </w:rPr>
            </w:pPr>
            <w:r>
              <w:rPr>
                <w:rStyle w:val="Strong"/>
                <w:color w:themeColor="text1" w:val="000000"/>
                <w:sz w:val="24"/>
                <w:szCs w:val="24"/>
                <w:lang w:val="sr-RS" w:bidi="ar-SA"/>
              </w:rPr>
              <w:t>Унутрашњи лимити који отежавају демографски развој</w:t>
            </w:r>
          </w:p>
          <w:p>
            <w:pPr>
              <w:pStyle w:val="NormalWeb"/>
              <w:widowControl w:val="false"/>
              <w:numPr>
                <w:ilvl w:val="0"/>
                <w:numId w:val="26"/>
              </w:numPr>
              <w:suppressAutoHyphens w:val="true"/>
              <w:spacing w:before="280" w:after="0"/>
              <w:jc w:val="both"/>
              <w:rPr>
                <w:lang w:val="sr-RS"/>
              </w:rPr>
            </w:pPr>
            <w:r>
              <w:rPr>
                <w:color w:themeColor="text1" w:val="000000"/>
                <w:sz w:val="24"/>
                <w:szCs w:val="24"/>
                <w:lang w:val="sr-RS" w:bidi="ar-SA"/>
              </w:rPr>
              <w:t>Старење становништва и негативан природни прираштај.</w:t>
            </w:r>
          </w:p>
          <w:p>
            <w:pPr>
              <w:pStyle w:val="NormalWeb"/>
              <w:widowControl w:val="false"/>
              <w:numPr>
                <w:ilvl w:val="0"/>
                <w:numId w:val="26"/>
              </w:numPr>
              <w:suppressAutoHyphens w:val="true"/>
              <w:spacing w:before="0" w:after="0"/>
              <w:jc w:val="both"/>
              <w:rPr>
                <w:lang w:val="sr-RS"/>
              </w:rPr>
            </w:pPr>
            <w:r>
              <w:rPr>
                <w:color w:themeColor="text1" w:val="000000"/>
                <w:sz w:val="24"/>
                <w:szCs w:val="24"/>
                <w:lang w:val="sr-RS" w:bidi="ar-SA"/>
              </w:rPr>
              <w:t>Географска близина Новог Сада – „одлив“ радне снаге и младих ка већем и атрактивнијем тржишту рада.Недостатак места у вртићима и ограничени капацитети за децу 3-5,5 година.</w:t>
            </w:r>
          </w:p>
          <w:p>
            <w:pPr>
              <w:pStyle w:val="NormalWeb"/>
              <w:widowControl w:val="false"/>
              <w:numPr>
                <w:ilvl w:val="0"/>
                <w:numId w:val="26"/>
              </w:numPr>
              <w:suppressAutoHyphens w:val="true"/>
              <w:spacing w:before="0" w:after="0"/>
              <w:jc w:val="both"/>
              <w:rPr>
                <w:lang w:val="sr-RS"/>
              </w:rPr>
            </w:pPr>
            <w:r>
              <w:rPr>
                <w:color w:themeColor="text1" w:val="000000"/>
                <w:sz w:val="24"/>
                <w:szCs w:val="24"/>
                <w:lang w:val="sr-RS" w:bidi="ar-SA"/>
              </w:rPr>
              <w:t>Застарела и недовољно функционална инфраструктура школа у руралним подручјима.</w:t>
            </w:r>
          </w:p>
          <w:p>
            <w:pPr>
              <w:pStyle w:val="NormalWeb"/>
              <w:widowControl w:val="false"/>
              <w:numPr>
                <w:ilvl w:val="0"/>
                <w:numId w:val="26"/>
              </w:numPr>
              <w:suppressAutoHyphens w:val="true"/>
              <w:spacing w:before="0" w:after="0"/>
              <w:jc w:val="both"/>
              <w:rPr>
                <w:lang w:val="sr-RS"/>
              </w:rPr>
            </w:pPr>
            <w:r>
              <w:rPr>
                <w:color w:themeColor="text1" w:val="000000"/>
                <w:sz w:val="24"/>
                <w:szCs w:val="24"/>
                <w:lang w:val="sr-RS" w:bidi="ar-SA"/>
              </w:rPr>
              <w:t>Лоша саобраћајна повезаност села - јавни превоз недовољно развијен.</w:t>
            </w:r>
          </w:p>
          <w:p>
            <w:pPr>
              <w:pStyle w:val="NormalWeb"/>
              <w:widowControl w:val="false"/>
              <w:numPr>
                <w:ilvl w:val="0"/>
                <w:numId w:val="26"/>
              </w:numPr>
              <w:suppressAutoHyphens w:val="true"/>
              <w:spacing w:before="0" w:after="0"/>
              <w:jc w:val="both"/>
              <w:rPr>
                <w:lang w:val="sr-RS"/>
              </w:rPr>
            </w:pPr>
            <w:r>
              <w:rPr>
                <w:color w:themeColor="text1" w:val="000000"/>
                <w:sz w:val="24"/>
                <w:szCs w:val="24"/>
                <w:lang w:val="sr-RS" w:bidi="ar-SA"/>
              </w:rPr>
              <w:t>Недостатак садржаја за младе (спортских, културних, едукативних програма).</w:t>
            </w:r>
          </w:p>
          <w:p>
            <w:pPr>
              <w:pStyle w:val="NormalWeb"/>
              <w:widowControl w:val="false"/>
              <w:numPr>
                <w:ilvl w:val="0"/>
                <w:numId w:val="26"/>
              </w:numPr>
              <w:suppressAutoHyphens w:val="true"/>
              <w:spacing w:before="0" w:after="0"/>
              <w:jc w:val="both"/>
              <w:rPr>
                <w:lang w:val="sr-RS"/>
              </w:rPr>
            </w:pPr>
            <w:r>
              <w:rPr>
                <w:color w:themeColor="text1" w:val="000000"/>
                <w:sz w:val="24"/>
                <w:szCs w:val="24"/>
                <w:lang w:val="sr-RS" w:bidi="ar-SA"/>
              </w:rPr>
              <w:t>Економска несигурност и недовољан број добро плаћених радних места.</w:t>
            </w:r>
          </w:p>
          <w:p>
            <w:pPr>
              <w:pStyle w:val="NormalWeb"/>
              <w:widowControl w:val="false"/>
              <w:numPr>
                <w:ilvl w:val="0"/>
                <w:numId w:val="26"/>
              </w:numPr>
              <w:suppressAutoHyphens w:val="true"/>
              <w:spacing w:before="0" w:after="280"/>
              <w:jc w:val="both"/>
              <w:rPr>
                <w:lang w:val="sr-RS"/>
              </w:rPr>
            </w:pPr>
            <w:r>
              <w:rPr>
                <w:color w:themeColor="text1" w:val="000000"/>
                <w:sz w:val="24"/>
                <w:szCs w:val="24"/>
                <w:lang w:val="sr-RS" w:bidi="ar-SA"/>
              </w:rPr>
              <w:t>Слаба мотивација младих да остану и формирају породицу у локалној средини.</w:t>
            </w:r>
          </w:p>
        </w:tc>
      </w:tr>
      <w:tr>
        <w:trPr/>
        <w:tc>
          <w:tcPr>
            <w:tcW w:w="4508" w:type="dxa"/>
            <w:tcBorders/>
          </w:tcPr>
          <w:p>
            <w:pPr>
              <w:pStyle w:val="Heading2"/>
              <w:widowControl w:val="false"/>
              <w:suppressAutoHyphens w:val="true"/>
              <w:spacing w:before="0" w:after="280"/>
              <w:jc w:val="both"/>
              <w:rPr>
                <w:sz w:val="24"/>
                <w:szCs w:val="24"/>
                <w:lang w:val="sr-RS"/>
              </w:rPr>
            </w:pPr>
            <w:r>
              <w:rPr>
                <w:rStyle w:val="Strong"/>
                <w:b/>
                <w:bCs/>
                <w:color w:themeColor="text1" w:val="000000"/>
                <w:sz w:val="24"/>
                <w:szCs w:val="24"/>
                <w:lang w:val="sr-RS" w:bidi="ar-SA"/>
              </w:rPr>
              <w:t>ШАНСЕ (Opportunities)</w:t>
            </w:r>
          </w:p>
          <w:p>
            <w:pPr>
              <w:pStyle w:val="NormalWeb"/>
              <w:widowControl w:val="false"/>
              <w:suppressAutoHyphens w:val="true"/>
              <w:spacing w:before="280" w:after="280"/>
              <w:jc w:val="both"/>
              <w:rPr>
                <w:lang w:val="sr-RS"/>
              </w:rPr>
            </w:pPr>
            <w:r>
              <w:rPr>
                <w:rStyle w:val="Strong"/>
                <w:color w:themeColor="text1" w:val="000000"/>
                <w:sz w:val="24"/>
                <w:szCs w:val="24"/>
                <w:lang w:val="sr-RS" w:bidi="ar-SA"/>
              </w:rPr>
              <w:t>Спољашњи фактори и потенцијали који могу подржати развој</w:t>
            </w:r>
          </w:p>
          <w:p>
            <w:pPr>
              <w:pStyle w:val="NormalWeb"/>
              <w:widowControl w:val="false"/>
              <w:numPr>
                <w:ilvl w:val="0"/>
                <w:numId w:val="27"/>
              </w:numPr>
              <w:suppressAutoHyphens w:val="true"/>
              <w:spacing w:before="280" w:after="0"/>
              <w:jc w:val="both"/>
              <w:rPr>
                <w:lang w:val="sr-RS"/>
              </w:rPr>
            </w:pPr>
            <w:r>
              <w:rPr>
                <w:color w:themeColor="text1" w:val="000000"/>
                <w:sz w:val="24"/>
                <w:szCs w:val="24"/>
                <w:lang w:val="sr-RS" w:bidi="ar-SA"/>
              </w:rPr>
              <w:t>Финансијске могућности кроз покрајинске, републичке и ЕУ фондове за инфраструктуру, образовање и социјалне услуге.</w:t>
            </w:r>
          </w:p>
          <w:p>
            <w:pPr>
              <w:pStyle w:val="NormalWeb"/>
              <w:widowControl w:val="false"/>
              <w:numPr>
                <w:ilvl w:val="0"/>
                <w:numId w:val="27"/>
              </w:numPr>
              <w:suppressAutoHyphens w:val="true"/>
              <w:spacing w:before="0" w:after="0"/>
              <w:jc w:val="both"/>
              <w:rPr>
                <w:lang w:val="sr-RS"/>
              </w:rPr>
            </w:pPr>
            <w:r>
              <w:rPr>
                <w:color w:themeColor="text1" w:val="000000"/>
                <w:sz w:val="24"/>
                <w:szCs w:val="24"/>
                <w:lang w:val="sr-RS" w:bidi="ar-SA"/>
              </w:rPr>
              <w:t>Развој руралног туризма, породичних фарми и малих локалних бизниса.</w:t>
            </w:r>
          </w:p>
          <w:p>
            <w:pPr>
              <w:pStyle w:val="NormalWeb"/>
              <w:widowControl w:val="false"/>
              <w:numPr>
                <w:ilvl w:val="0"/>
                <w:numId w:val="27"/>
              </w:numPr>
              <w:suppressAutoHyphens w:val="true"/>
              <w:spacing w:before="0" w:after="0"/>
              <w:jc w:val="both"/>
              <w:rPr>
                <w:lang w:val="sr-RS"/>
              </w:rPr>
            </w:pPr>
            <w:r>
              <w:rPr>
                <w:color w:themeColor="text1" w:val="000000"/>
                <w:sz w:val="24"/>
                <w:szCs w:val="24"/>
                <w:lang w:val="sr-RS" w:bidi="ar-SA"/>
              </w:rPr>
              <w:t>Могућност увођења стамбених програма за младе (субвенције, обнове, рурални домови).</w:t>
            </w:r>
          </w:p>
          <w:p>
            <w:pPr>
              <w:pStyle w:val="NormalWeb"/>
              <w:widowControl w:val="false"/>
              <w:numPr>
                <w:ilvl w:val="0"/>
                <w:numId w:val="27"/>
              </w:numPr>
              <w:suppressAutoHyphens w:val="true"/>
              <w:spacing w:before="0" w:after="0"/>
              <w:jc w:val="both"/>
              <w:rPr>
                <w:lang w:val="sr-RS"/>
              </w:rPr>
            </w:pPr>
            <w:r>
              <w:rPr>
                <w:color w:themeColor="text1" w:val="000000"/>
                <w:sz w:val="24"/>
                <w:szCs w:val="24"/>
                <w:lang w:val="sr-RS" w:bidi="ar-SA"/>
              </w:rPr>
              <w:t>Унапређење јавних услуга кроз дигитализацију.</w:t>
            </w:r>
          </w:p>
          <w:p>
            <w:pPr>
              <w:pStyle w:val="NormalWeb"/>
              <w:widowControl w:val="false"/>
              <w:numPr>
                <w:ilvl w:val="0"/>
                <w:numId w:val="27"/>
              </w:numPr>
              <w:suppressAutoHyphens w:val="true"/>
              <w:spacing w:before="0" w:after="0"/>
              <w:jc w:val="both"/>
              <w:rPr>
                <w:lang w:val="sr-RS"/>
              </w:rPr>
            </w:pPr>
            <w:r>
              <w:rPr>
                <w:color w:themeColor="text1" w:val="000000"/>
                <w:sz w:val="24"/>
                <w:szCs w:val="24"/>
                <w:lang w:val="sr-RS" w:bidi="ar-SA"/>
              </w:rPr>
              <w:t>Партнерства са НС, Сремском Митровицом и другим локалним самоуправама.</w:t>
            </w:r>
          </w:p>
          <w:p>
            <w:pPr>
              <w:pStyle w:val="NormalWeb"/>
              <w:widowControl w:val="false"/>
              <w:numPr>
                <w:ilvl w:val="0"/>
                <w:numId w:val="27"/>
              </w:numPr>
              <w:suppressAutoHyphens w:val="true"/>
              <w:spacing w:before="0" w:after="0"/>
              <w:jc w:val="both"/>
              <w:rPr>
                <w:lang w:val="sr-RS"/>
              </w:rPr>
            </w:pPr>
            <w:r>
              <w:rPr>
                <w:color w:themeColor="text1" w:val="000000"/>
                <w:sz w:val="24"/>
                <w:szCs w:val="24"/>
                <w:lang w:val="sr-RS" w:bidi="ar-SA"/>
              </w:rPr>
              <w:t>Раст интересовања за активности у природи и здраве стилове живота — потенцијал за младе породице.</w:t>
            </w:r>
          </w:p>
          <w:p>
            <w:pPr>
              <w:pStyle w:val="NormalWeb"/>
              <w:widowControl w:val="false"/>
              <w:numPr>
                <w:ilvl w:val="0"/>
                <w:numId w:val="27"/>
              </w:numPr>
              <w:suppressAutoHyphens w:val="true"/>
              <w:spacing w:before="0" w:after="280"/>
              <w:jc w:val="both"/>
              <w:rPr>
                <w:lang w:val="sr-RS"/>
              </w:rPr>
            </w:pPr>
            <w:r>
              <w:rPr>
                <w:color w:themeColor="text1" w:val="000000"/>
                <w:sz w:val="24"/>
                <w:szCs w:val="24"/>
                <w:lang w:val="sr-RS" w:bidi="ar-SA"/>
              </w:rPr>
              <w:t>Јачање сарадње институција кроз ЛАП као заједнички механизам деловања.</w:t>
            </w:r>
          </w:p>
        </w:tc>
        <w:tc>
          <w:tcPr>
            <w:tcW w:w="4507" w:type="dxa"/>
            <w:tcBorders/>
          </w:tcPr>
          <w:p>
            <w:pPr>
              <w:pStyle w:val="Heading2"/>
              <w:widowControl w:val="false"/>
              <w:suppressAutoHyphens w:val="true"/>
              <w:spacing w:before="0" w:after="280"/>
              <w:jc w:val="both"/>
              <w:rPr>
                <w:sz w:val="24"/>
                <w:szCs w:val="24"/>
                <w:lang w:val="sr-RS"/>
              </w:rPr>
            </w:pPr>
            <w:r>
              <w:rPr>
                <w:rStyle w:val="Strong"/>
                <w:b/>
                <w:bCs/>
                <w:color w:themeColor="text1" w:val="000000"/>
                <w:sz w:val="24"/>
                <w:szCs w:val="24"/>
                <w:lang w:val="sr-RS" w:bidi="ar-SA"/>
              </w:rPr>
              <w:t>ПРЕТЊЕ (Threats)</w:t>
            </w:r>
          </w:p>
          <w:p>
            <w:pPr>
              <w:pStyle w:val="NormalWeb"/>
              <w:widowControl w:val="false"/>
              <w:suppressAutoHyphens w:val="true"/>
              <w:spacing w:before="280" w:after="280"/>
              <w:jc w:val="both"/>
              <w:rPr>
                <w:lang w:val="sr-RS"/>
              </w:rPr>
            </w:pPr>
            <w:r>
              <w:rPr>
                <w:rStyle w:val="Strong"/>
                <w:color w:themeColor="text1" w:val="000000"/>
                <w:sz w:val="24"/>
                <w:szCs w:val="24"/>
                <w:lang w:val="sr-RS" w:bidi="ar-SA"/>
              </w:rPr>
              <w:t>Спољашњи ризици који могу негативно утицати на демографске токове</w:t>
            </w:r>
          </w:p>
          <w:p>
            <w:pPr>
              <w:pStyle w:val="NormalWeb"/>
              <w:widowControl w:val="false"/>
              <w:numPr>
                <w:ilvl w:val="0"/>
                <w:numId w:val="28"/>
              </w:numPr>
              <w:suppressAutoHyphens w:val="true"/>
              <w:spacing w:before="280" w:after="0"/>
              <w:jc w:val="both"/>
              <w:rPr>
                <w:lang w:val="sr-RS"/>
              </w:rPr>
            </w:pPr>
            <w:r>
              <w:rPr>
                <w:color w:themeColor="text1" w:val="000000"/>
                <w:sz w:val="24"/>
                <w:szCs w:val="24"/>
                <w:lang w:val="sr-RS" w:bidi="ar-SA"/>
              </w:rPr>
              <w:t>Континуиран одлив младих ка Новом Саду, Београду и иностранству.</w:t>
            </w:r>
          </w:p>
          <w:p>
            <w:pPr>
              <w:pStyle w:val="NormalWeb"/>
              <w:widowControl w:val="false"/>
              <w:numPr>
                <w:ilvl w:val="0"/>
                <w:numId w:val="28"/>
              </w:numPr>
              <w:suppressAutoHyphens w:val="true"/>
              <w:spacing w:before="0" w:after="0"/>
              <w:jc w:val="both"/>
              <w:rPr>
                <w:lang w:val="sr-RS"/>
              </w:rPr>
            </w:pPr>
            <w:r>
              <w:rPr>
                <w:color w:themeColor="text1" w:val="000000"/>
                <w:sz w:val="24"/>
                <w:szCs w:val="24"/>
                <w:lang w:val="sr-RS" w:bidi="ar-SA"/>
              </w:rPr>
              <w:t>Недостатак дугорочних улагања у образовање, здравство и инфраструктуру.</w:t>
            </w:r>
          </w:p>
          <w:p>
            <w:pPr>
              <w:pStyle w:val="NormalWeb"/>
              <w:widowControl w:val="false"/>
              <w:numPr>
                <w:ilvl w:val="0"/>
                <w:numId w:val="28"/>
              </w:numPr>
              <w:suppressAutoHyphens w:val="true"/>
              <w:spacing w:before="0" w:after="0"/>
              <w:jc w:val="both"/>
              <w:rPr>
                <w:lang w:val="sr-RS"/>
              </w:rPr>
            </w:pPr>
            <w:r>
              <w:rPr>
                <w:color w:themeColor="text1" w:val="000000"/>
                <w:sz w:val="24"/>
                <w:szCs w:val="24"/>
                <w:lang w:val="sr-RS" w:bidi="ar-SA"/>
              </w:rPr>
              <w:t>Пораст животних трошкова и даље економско оптерећење младих породица.</w:t>
            </w:r>
          </w:p>
          <w:p>
            <w:pPr>
              <w:pStyle w:val="NormalWeb"/>
              <w:widowControl w:val="false"/>
              <w:numPr>
                <w:ilvl w:val="0"/>
                <w:numId w:val="28"/>
              </w:numPr>
              <w:suppressAutoHyphens w:val="true"/>
              <w:spacing w:before="0" w:after="0"/>
              <w:jc w:val="both"/>
              <w:rPr>
                <w:lang w:val="sr-RS"/>
              </w:rPr>
            </w:pPr>
            <w:r>
              <w:rPr>
                <w:color w:themeColor="text1" w:val="000000"/>
                <w:sz w:val="24"/>
                <w:szCs w:val="24"/>
                <w:lang w:val="sr-RS" w:bidi="ar-SA"/>
              </w:rPr>
              <w:t>Повећан ризик депопулације руралних насеља.</w:t>
            </w:r>
          </w:p>
          <w:p>
            <w:pPr>
              <w:pStyle w:val="NormalWeb"/>
              <w:widowControl w:val="false"/>
              <w:numPr>
                <w:ilvl w:val="0"/>
                <w:numId w:val="28"/>
              </w:numPr>
              <w:suppressAutoHyphens w:val="true"/>
              <w:spacing w:before="0" w:after="0"/>
              <w:jc w:val="both"/>
              <w:rPr>
                <w:lang w:val="sr-RS"/>
              </w:rPr>
            </w:pPr>
            <w:r>
              <w:rPr>
                <w:color w:themeColor="text1" w:val="000000"/>
                <w:sz w:val="24"/>
                <w:szCs w:val="24"/>
                <w:lang w:val="sr-RS" w:bidi="ar-SA"/>
              </w:rPr>
              <w:t>Застаревање индустријске базе ако нема инвестиција — ризик за запошљавање.</w:t>
            </w:r>
          </w:p>
          <w:p>
            <w:pPr>
              <w:pStyle w:val="NormalWeb"/>
              <w:widowControl w:val="false"/>
              <w:numPr>
                <w:ilvl w:val="0"/>
                <w:numId w:val="28"/>
              </w:numPr>
              <w:suppressAutoHyphens w:val="true"/>
              <w:spacing w:before="0" w:after="0"/>
              <w:jc w:val="both"/>
              <w:rPr>
                <w:lang w:val="sr-RS"/>
              </w:rPr>
            </w:pPr>
            <w:r>
              <w:rPr>
                <w:color w:themeColor="text1" w:val="000000"/>
                <w:sz w:val="24"/>
                <w:szCs w:val="24"/>
                <w:lang w:val="sr-RS" w:bidi="ar-SA"/>
              </w:rPr>
              <w:t>Тренд пада броја деце у предшколском и основношколском узрасту.</w:t>
            </w:r>
          </w:p>
          <w:p>
            <w:pPr>
              <w:pStyle w:val="NormalWeb"/>
              <w:widowControl w:val="false"/>
              <w:numPr>
                <w:ilvl w:val="0"/>
                <w:numId w:val="28"/>
              </w:numPr>
              <w:suppressAutoHyphens w:val="true"/>
              <w:spacing w:before="0" w:after="280"/>
              <w:jc w:val="both"/>
              <w:rPr>
                <w:lang w:val="sr-RS"/>
              </w:rPr>
            </w:pPr>
            <w:r>
              <w:rPr>
                <w:color w:themeColor="text1" w:val="000000"/>
                <w:sz w:val="24"/>
                <w:szCs w:val="24"/>
                <w:lang w:val="sr-RS" w:bidi="ar-SA"/>
              </w:rPr>
              <w:t>Недовољна доступност здравствених специјалиста у мањим местима.</w:t>
            </w:r>
          </w:p>
          <w:p>
            <w:pPr>
              <w:pStyle w:val="NormalWeb"/>
              <w:widowControl w:val="false"/>
              <w:suppressAutoHyphens w:val="true"/>
              <w:spacing w:before="280" w:after="0"/>
              <w:jc w:val="both"/>
              <w:rPr>
                <w:color w:themeColor="text1" w:val="000000"/>
                <w:lang w:val="sr-RS"/>
              </w:rPr>
            </w:pPr>
            <w:r>
              <w:rPr>
                <w:color w:themeColor="text1" w:val="000000"/>
                <w:lang w:val="sr-RS"/>
              </w:rPr>
            </w:r>
          </w:p>
        </w:tc>
      </w:tr>
    </w:tbl>
    <w:p>
      <w:pPr>
        <w:pStyle w:val="NormalWeb"/>
        <w:spacing w:before="280" w:after="280"/>
        <w:jc w:val="both"/>
        <w:rPr>
          <w:color w:themeColor="text1" w:val="000000"/>
          <w:lang w:val="sr-RS"/>
        </w:rPr>
      </w:pPr>
      <w:r>
        <w:rPr>
          <w:color w:themeColor="text1" w:val="000000"/>
          <w:lang w:val="sr-RS"/>
        </w:rPr>
      </w:r>
    </w:p>
    <w:p>
      <w:pPr>
        <w:pStyle w:val="Heading1"/>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10. СТРАТЕШКИ И ОПЕРАТИВНИ ЦИЉЕВИ</w:t>
      </w:r>
    </w:p>
    <w:p>
      <w:pPr>
        <w:pStyle w:val="Heading2"/>
        <w:spacing w:before="280" w:after="280"/>
        <w:jc w:val="both"/>
        <w:rPr>
          <w:sz w:val="24"/>
          <w:szCs w:val="24"/>
          <w:lang w:val="sr-RS"/>
        </w:rPr>
      </w:pPr>
      <w:r>
        <w:rPr>
          <w:rStyle w:val="Strong"/>
          <w:b/>
          <w:bCs/>
          <w:color w:themeColor="text1" w:val="000000"/>
          <w:sz w:val="24"/>
          <w:szCs w:val="24"/>
          <w:lang w:val="sr-RS"/>
        </w:rPr>
        <w:t>10.1. Стратешки циљ</w:t>
      </w:r>
    </w:p>
    <w:p>
      <w:pPr>
        <w:pStyle w:val="Heading3"/>
        <w:jc w:val="both"/>
        <w:rPr>
          <w:rFonts w:ascii="Times New Roman" w:hAnsi="Times New Roman" w:cs="Times New Roman"/>
          <w:lang w:val="sr-RS"/>
        </w:rPr>
      </w:pPr>
      <w:r>
        <w:rPr>
          <w:rStyle w:val="Strong"/>
          <w:rFonts w:cs="Times New Roman" w:ascii="Times New Roman" w:hAnsi="Times New Roman"/>
          <w:color w:themeColor="text1" w:val="000000"/>
          <w:lang w:val="sr-RS"/>
        </w:rPr>
        <w:t>СТРАТЕШКИ ЦИЉ: Унапређење демографске слике општине Беочин кроз јачање услова за оснивање и развој породице, подршку младима и побољшање квалитета живота у урбаним и руралним срединама.</w:t>
      </w:r>
    </w:p>
    <w:p>
      <w:pPr>
        <w:pStyle w:val="NormalWeb"/>
        <w:spacing w:before="280" w:after="280"/>
        <w:jc w:val="both"/>
        <w:rPr>
          <w:lang w:val="sr-RS"/>
        </w:rPr>
      </w:pPr>
      <w:r>
        <w:rPr>
          <w:color w:themeColor="text1" w:val="000000"/>
          <w:lang w:val="sr-RS"/>
        </w:rPr>
        <w:t>Овај циљ обухвата све кључне области које су анализом препознате као критичне – економску стабилност породица, приступ вртићима и образовању, доступност здравствених услуга, услове живота у селима, подршку младим и самохранoм родитељима, као и стварање окружења које мотивише младе да остану или се врате у Беочин.</w:t>
      </w:r>
    </w:p>
    <w:p>
      <w:pPr>
        <w:pStyle w:val="Heading2"/>
        <w:spacing w:before="280" w:after="280"/>
        <w:jc w:val="both"/>
        <w:rPr>
          <w:sz w:val="24"/>
          <w:szCs w:val="24"/>
          <w:lang w:val="sr-RS"/>
        </w:rPr>
      </w:pPr>
      <w:r>
        <w:rPr>
          <w:rStyle w:val="Strong"/>
          <w:b/>
          <w:bCs/>
          <w:color w:themeColor="text1" w:val="000000"/>
          <w:sz w:val="24"/>
          <w:szCs w:val="24"/>
          <w:lang w:val="sr-RS"/>
        </w:rPr>
        <w:t>10.2. Оперативни циљеви</w:t>
      </w:r>
    </w:p>
    <w:p>
      <w:pPr>
        <w:pStyle w:val="NormalWeb"/>
        <w:spacing w:before="280" w:after="280"/>
        <w:jc w:val="both"/>
        <w:rPr>
          <w:lang w:val="sr-RS"/>
        </w:rPr>
      </w:pPr>
      <w:r>
        <w:rPr>
          <w:lang w:val="sr-RS"/>
        </w:rPr>
        <w:t>Оперативни циљеви представљају оквир кроз који се стратешки циљ ЛАП-а преводи у конкретне, мерљиве и оствариве интервенције. Они су формулисани на основу свеобухватне анализе демографских трендова, институционалних увида и мишљења грађана, са циљем да обухвате кључне области које најдиректније утичу на наталитет, квалитет живота породица и дугорочну демографску стабилност општине Беочин. Сваки оперативни циљ ослања се на препознате приоритете и фокусне тачке које су се систематски појављивале током консултативног процеса, што омогућава да мере буду реалне, усмерене и усклађене са стварним потребама локалне заједнице.</w:t>
      </w:r>
    </w:p>
    <w:p>
      <w:pPr>
        <w:pStyle w:val="NormalWeb"/>
        <w:spacing w:before="280" w:after="280"/>
        <w:jc w:val="both"/>
        <w:rPr>
          <w:lang w:val="sr-RS"/>
        </w:rPr>
      </w:pPr>
      <w:r>
        <w:rPr>
          <w:color w:themeColor="text1" w:val="000000"/>
          <w:lang w:val="sr-RS"/>
        </w:rPr>
        <w:t>У складу са стратешким циљем и резултатима свеобухватне анализе, предлажу се следећи оперативни циљеви:</w:t>
      </w:r>
    </w:p>
    <w:p>
      <w:pPr>
        <w:pStyle w:val="Heading3"/>
        <w:numPr>
          <w:ilvl w:val="0"/>
          <w:numId w:val="29"/>
        </w:numPr>
        <w:jc w:val="both"/>
        <w:rPr>
          <w:rFonts w:ascii="Times New Roman" w:hAnsi="Times New Roman" w:cs="Times New Roman"/>
          <w:lang w:val="sr-RS"/>
        </w:rPr>
      </w:pPr>
      <w:bookmarkStart w:id="7" w:name="_Toc216443322"/>
      <w:r>
        <w:rPr>
          <w:rStyle w:val="Strong"/>
          <w:rFonts w:cs="Times New Roman" w:ascii="Times New Roman" w:hAnsi="Times New Roman"/>
          <w:color w:themeColor="text1" w:val="000000"/>
          <w:lang w:val="sr-RS"/>
        </w:rPr>
        <w:t>Оперативни циљ 1:</w:t>
      </w:r>
      <w:bookmarkEnd w:id="7"/>
    </w:p>
    <w:p>
      <w:pPr>
        <w:pStyle w:val="NormalWeb"/>
        <w:spacing w:before="280" w:after="280"/>
        <w:jc w:val="both"/>
        <w:rPr>
          <w:lang w:val="sr-RS"/>
        </w:rPr>
      </w:pPr>
      <w:r>
        <w:rPr>
          <w:rStyle w:val="Strong"/>
          <w:color w:themeColor="text1" w:val="000000"/>
          <w:lang w:val="sr-RS"/>
        </w:rPr>
        <w:t>Побољшање услова за рано детињство и унапређење доступности предшколског и школског образовања</w:t>
      </w:r>
    </w:p>
    <w:p>
      <w:pPr>
        <w:pStyle w:val="NormalWeb"/>
        <w:spacing w:before="280" w:after="280"/>
        <w:jc w:val="both"/>
        <w:rPr>
          <w:lang w:val="sr-RS"/>
        </w:rPr>
      </w:pPr>
      <w:r>
        <w:rPr>
          <w:rStyle w:val="Strong"/>
          <w:color w:themeColor="text1" w:val="000000"/>
          <w:lang w:val="sr-RS"/>
        </w:rPr>
        <w:t>Фокус:</w:t>
      </w:r>
      <w:r>
        <w:rPr>
          <w:color w:themeColor="text1" w:val="000000"/>
          <w:lang w:val="sr-RS"/>
        </w:rPr>
        <w:t xml:space="preserve"> проширење капацитета вртића, подршка родитељима деце узраста 0–6 година, унапређење инфраструктуре школа и подручних одељења.</w:t>
      </w:r>
    </w:p>
    <w:p>
      <w:pPr>
        <w:pStyle w:val="NormalWeb"/>
        <w:spacing w:before="280" w:after="280"/>
        <w:jc w:val="both"/>
        <w:rPr>
          <w:lang w:val="sr-RS"/>
        </w:rPr>
      </w:pPr>
      <w:r>
        <w:rPr>
          <w:rStyle w:val="Strong"/>
          <w:color w:themeColor="text1" w:val="000000"/>
          <w:lang w:val="sr-RS"/>
        </w:rPr>
        <w:t>Разлог:</w:t>
      </w:r>
      <w:r>
        <w:rPr>
          <w:color w:themeColor="text1" w:val="000000"/>
          <w:lang w:val="sr-RS"/>
        </w:rPr>
        <w:t xml:space="preserve"> Недостатак места у вртићима и неповољни услови у школама представљају најчешће идентификован проблем од стране институција и грађана.</w:t>
      </w:r>
    </w:p>
    <w:p>
      <w:pPr>
        <w:pStyle w:val="Heading3"/>
        <w:numPr>
          <w:ilvl w:val="0"/>
          <w:numId w:val="29"/>
        </w:numPr>
        <w:jc w:val="both"/>
        <w:rPr>
          <w:rFonts w:ascii="Times New Roman" w:hAnsi="Times New Roman" w:cs="Times New Roman"/>
          <w:lang w:val="sr-RS"/>
        </w:rPr>
      </w:pPr>
      <w:bookmarkStart w:id="8" w:name="_Toc216443323"/>
      <w:r>
        <w:rPr>
          <w:rStyle w:val="Strong"/>
          <w:rFonts w:cs="Times New Roman" w:ascii="Times New Roman" w:hAnsi="Times New Roman"/>
          <w:color w:themeColor="text1" w:val="000000"/>
          <w:lang w:val="sr-RS"/>
        </w:rPr>
        <w:t>Оперативни циљ 2:</w:t>
      </w:r>
      <w:bookmarkEnd w:id="8"/>
    </w:p>
    <w:p>
      <w:pPr>
        <w:pStyle w:val="NormalWeb"/>
        <w:spacing w:before="280" w:after="280"/>
        <w:jc w:val="both"/>
        <w:rPr>
          <w:lang w:val="sr-RS"/>
        </w:rPr>
      </w:pPr>
      <w:r>
        <w:rPr>
          <w:rStyle w:val="Strong"/>
          <w:color w:themeColor="text1" w:val="000000"/>
          <w:lang w:val="sr-RS"/>
        </w:rPr>
        <w:t>Унапређење доступности и квалитета здравствених услуга за жене, децу и породице</w:t>
      </w:r>
    </w:p>
    <w:p>
      <w:pPr>
        <w:pStyle w:val="NormalWeb"/>
        <w:spacing w:before="280" w:after="280"/>
        <w:jc w:val="both"/>
        <w:rPr>
          <w:lang w:val="sr-RS"/>
        </w:rPr>
      </w:pPr>
      <w:r>
        <w:rPr>
          <w:rStyle w:val="Strong"/>
          <w:color w:themeColor="text1" w:val="000000"/>
          <w:lang w:val="sr-RS"/>
        </w:rPr>
        <w:t>Фокус:</w:t>
      </w:r>
      <w:r>
        <w:rPr>
          <w:color w:themeColor="text1" w:val="000000"/>
          <w:lang w:val="sr-RS"/>
        </w:rPr>
        <w:t xml:space="preserve"> боља доступност педијатра, гинеколога, патронажних сестара, програми подршке трудницама и породиљама.</w:t>
      </w:r>
    </w:p>
    <w:p>
      <w:pPr>
        <w:pStyle w:val="NormalWeb"/>
        <w:spacing w:before="280" w:after="280"/>
        <w:jc w:val="both"/>
        <w:rPr>
          <w:lang w:val="sr-RS"/>
        </w:rPr>
      </w:pPr>
      <w:r>
        <w:rPr>
          <w:rStyle w:val="Strong"/>
          <w:color w:themeColor="text1" w:val="000000"/>
          <w:lang w:val="sr-RS"/>
        </w:rPr>
        <w:t>Разлог:</w:t>
      </w:r>
      <w:r>
        <w:rPr>
          <w:color w:themeColor="text1" w:val="000000"/>
          <w:lang w:val="sr-RS"/>
        </w:rPr>
        <w:t xml:space="preserve"> Здравствене услуге су више пута препознате као недовољно доступне, посебно у руралним деловима.</w:t>
      </w:r>
    </w:p>
    <w:p>
      <w:pPr>
        <w:pStyle w:val="Heading3"/>
        <w:numPr>
          <w:ilvl w:val="0"/>
          <w:numId w:val="29"/>
        </w:numPr>
        <w:jc w:val="both"/>
        <w:rPr>
          <w:rFonts w:ascii="Times New Roman" w:hAnsi="Times New Roman" w:cs="Times New Roman"/>
          <w:lang w:val="sr-RS"/>
        </w:rPr>
      </w:pPr>
      <w:bookmarkStart w:id="9" w:name="_Toc216443324"/>
      <w:r>
        <w:rPr>
          <w:rStyle w:val="Strong"/>
          <w:rFonts w:cs="Times New Roman" w:ascii="Times New Roman" w:hAnsi="Times New Roman"/>
          <w:color w:themeColor="text1" w:val="000000"/>
          <w:lang w:val="sr-RS"/>
        </w:rPr>
        <w:t>Оперативни циљ 3:</w:t>
      </w:r>
      <w:bookmarkEnd w:id="9"/>
    </w:p>
    <w:p>
      <w:pPr>
        <w:pStyle w:val="NormalWeb"/>
        <w:spacing w:before="280" w:after="280"/>
        <w:jc w:val="both"/>
        <w:rPr>
          <w:lang w:val="sr-RS"/>
        </w:rPr>
      </w:pPr>
      <w:r>
        <w:rPr>
          <w:rStyle w:val="Strong"/>
          <w:color w:themeColor="text1" w:val="000000"/>
          <w:lang w:val="sr-RS"/>
        </w:rPr>
        <w:t>Јачање економске сигурности породица и подстицање запошљавања младих</w:t>
      </w:r>
    </w:p>
    <w:p>
      <w:pPr>
        <w:pStyle w:val="NormalWeb"/>
        <w:spacing w:before="280" w:after="280"/>
        <w:jc w:val="both"/>
        <w:rPr>
          <w:lang w:val="sr-RS"/>
        </w:rPr>
      </w:pPr>
      <w:r>
        <w:rPr>
          <w:rStyle w:val="Strong"/>
          <w:color w:themeColor="text1" w:val="000000"/>
          <w:lang w:val="sr-RS"/>
        </w:rPr>
        <w:t>Фокус:</w:t>
      </w:r>
      <w:r>
        <w:rPr>
          <w:color w:themeColor="text1" w:val="000000"/>
          <w:lang w:val="sr-RS"/>
        </w:rPr>
        <w:t xml:space="preserve"> сарадња са послодавцима, подршка младима у запошљавању, информисање о програмима државне подршке, стимулисање останка младих кроз економске мере.</w:t>
      </w:r>
    </w:p>
    <w:p>
      <w:pPr>
        <w:pStyle w:val="NormalWeb"/>
        <w:spacing w:before="280" w:after="280"/>
        <w:jc w:val="both"/>
        <w:rPr>
          <w:lang w:val="sr-RS"/>
        </w:rPr>
      </w:pPr>
      <w:r>
        <w:rPr>
          <w:rStyle w:val="Strong"/>
          <w:color w:themeColor="text1" w:val="000000"/>
          <w:lang w:val="sr-RS"/>
        </w:rPr>
        <w:t>Разлог:</w:t>
      </w:r>
      <w:r>
        <w:rPr>
          <w:color w:themeColor="text1" w:val="000000"/>
          <w:lang w:val="sr-RS"/>
        </w:rPr>
        <w:t xml:space="preserve"> Економска несигурност је први и најчешћи разлог ниског наталитета у анкетама грађана.</w:t>
      </w:r>
    </w:p>
    <w:p>
      <w:pPr>
        <w:pStyle w:val="Heading3"/>
        <w:numPr>
          <w:ilvl w:val="0"/>
          <w:numId w:val="29"/>
        </w:numPr>
        <w:jc w:val="both"/>
        <w:rPr>
          <w:rFonts w:ascii="Times New Roman" w:hAnsi="Times New Roman" w:cs="Times New Roman"/>
          <w:lang w:val="sr-RS"/>
        </w:rPr>
      </w:pPr>
      <w:bookmarkStart w:id="10" w:name="_Toc216443325"/>
      <w:r>
        <w:rPr>
          <w:rStyle w:val="Strong"/>
          <w:rFonts w:cs="Times New Roman" w:ascii="Times New Roman" w:hAnsi="Times New Roman"/>
          <w:color w:themeColor="text1" w:val="000000"/>
          <w:lang w:val="sr-RS"/>
        </w:rPr>
        <w:t>Оперативни циљ 4:</w:t>
      </w:r>
      <w:bookmarkEnd w:id="10"/>
    </w:p>
    <w:p>
      <w:pPr>
        <w:pStyle w:val="NormalWeb"/>
        <w:spacing w:before="280" w:after="280"/>
        <w:jc w:val="both"/>
        <w:rPr>
          <w:lang w:val="sr-RS"/>
        </w:rPr>
      </w:pPr>
      <w:r>
        <w:rPr>
          <w:rStyle w:val="Strong"/>
          <w:color w:themeColor="text1" w:val="000000"/>
          <w:lang w:val="sr-RS"/>
        </w:rPr>
        <w:t>Витализација руралних подручја и унапређење инфраструктуре у селима</w:t>
      </w:r>
    </w:p>
    <w:p>
      <w:pPr>
        <w:pStyle w:val="NormalWeb"/>
        <w:spacing w:before="280" w:after="280"/>
        <w:jc w:val="both"/>
        <w:rPr>
          <w:lang w:val="sr-RS"/>
        </w:rPr>
      </w:pPr>
      <w:r>
        <w:rPr>
          <w:rStyle w:val="Strong"/>
          <w:color w:themeColor="text1" w:val="000000"/>
          <w:lang w:val="sr-RS"/>
        </w:rPr>
        <w:t>Фокус:</w:t>
      </w:r>
      <w:r>
        <w:rPr>
          <w:color w:themeColor="text1" w:val="000000"/>
          <w:lang w:val="sr-RS"/>
        </w:rPr>
        <w:t xml:space="preserve"> путеви, јавни превоз, интернет, приступ јавним услугама у руралним срединама.</w:t>
      </w:r>
    </w:p>
    <w:p>
      <w:pPr>
        <w:pStyle w:val="NormalWeb"/>
        <w:spacing w:before="280" w:after="280"/>
        <w:jc w:val="both"/>
        <w:rPr>
          <w:lang w:val="sr-RS"/>
        </w:rPr>
      </w:pPr>
      <w:r>
        <w:rPr>
          <w:rStyle w:val="Strong"/>
          <w:color w:themeColor="text1" w:val="000000"/>
          <w:lang w:val="sr-RS"/>
        </w:rPr>
        <w:t>Разлог:</w:t>
      </w:r>
      <w:r>
        <w:rPr>
          <w:color w:themeColor="text1" w:val="000000"/>
          <w:lang w:val="sr-RS"/>
        </w:rPr>
        <w:t xml:space="preserve"> Рурална насеља имају највећи ризик од депопулације и исељавања младих породица.</w:t>
      </w:r>
    </w:p>
    <w:p>
      <w:pPr>
        <w:pStyle w:val="Heading3"/>
        <w:numPr>
          <w:ilvl w:val="0"/>
          <w:numId w:val="29"/>
        </w:numPr>
        <w:rPr>
          <w:rFonts w:ascii="Times New Roman" w:hAnsi="Times New Roman" w:cs="Times New Roman"/>
          <w:color w:themeColor="text1" w:val="000000"/>
          <w:lang w:val="sr-RS"/>
        </w:rPr>
      </w:pPr>
      <w:bookmarkStart w:id="11" w:name="_Toc216443326"/>
      <w:r>
        <w:rPr>
          <w:rStyle w:val="Strong"/>
          <w:rFonts w:cs="Times New Roman" w:ascii="Times New Roman" w:hAnsi="Times New Roman"/>
          <w:color w:themeColor="text1" w:val="000000"/>
          <w:lang w:val="sr-RS"/>
        </w:rPr>
        <w:t>Оперативни циљ 5:</w:t>
      </w:r>
      <w:bookmarkEnd w:id="11"/>
    </w:p>
    <w:p>
      <w:pPr>
        <w:pStyle w:val="NormalWeb"/>
        <w:spacing w:before="280" w:after="280"/>
        <w:rPr>
          <w:color w:themeColor="text1" w:val="000000"/>
          <w:lang w:val="sr-RS"/>
        </w:rPr>
      </w:pPr>
      <w:r>
        <w:rPr>
          <w:rStyle w:val="Strong"/>
          <w:color w:themeColor="text1" w:val="000000"/>
          <w:lang w:val="sr-RS"/>
        </w:rPr>
        <w:t>Унапређење система подршке породицама и смањење административних и организационих баријера</w:t>
      </w:r>
    </w:p>
    <w:p>
      <w:pPr>
        <w:pStyle w:val="NormalWeb"/>
        <w:spacing w:before="280" w:after="280"/>
        <w:jc w:val="both"/>
        <w:rPr>
          <w:lang w:val="sr-RS"/>
        </w:rPr>
      </w:pPr>
      <w:r>
        <w:rPr>
          <w:rStyle w:val="Strong"/>
          <w:color w:themeColor="text1" w:val="000000"/>
          <w:lang w:val="sr-RS"/>
        </w:rPr>
        <w:t>Фокус:</w:t>
      </w:r>
      <w:r>
        <w:rPr>
          <w:color w:themeColor="text1" w:val="000000"/>
          <w:lang w:val="sr-RS"/>
        </w:rPr>
        <w:t xml:space="preserve"> боља координација институција, поједностављење процедура, стварање јединствене „породичне” информативне тачке, програми за самохране и вишечлане породице.</w:t>
      </w:r>
    </w:p>
    <w:p>
      <w:pPr>
        <w:pStyle w:val="NormalWeb"/>
        <w:spacing w:before="280" w:after="280"/>
        <w:jc w:val="both"/>
        <w:rPr>
          <w:lang w:val="sr-RS"/>
        </w:rPr>
      </w:pPr>
      <w:r>
        <w:rPr>
          <w:rStyle w:val="Strong"/>
          <w:color w:themeColor="text1" w:val="000000"/>
          <w:lang w:val="sr-RS"/>
        </w:rPr>
        <w:t>Разлог:</w:t>
      </w:r>
      <w:r>
        <w:rPr>
          <w:color w:themeColor="text1" w:val="000000"/>
          <w:lang w:val="sr-RS"/>
        </w:rPr>
        <w:t xml:space="preserve"> Грађани су више пута истакли да „све морају сами да решавају“, што указује на мањак системске подршке.</w:t>
      </w:r>
    </w:p>
    <w:p>
      <w:pPr>
        <w:pStyle w:val="Heading3"/>
        <w:numPr>
          <w:ilvl w:val="0"/>
          <w:numId w:val="29"/>
        </w:numPr>
        <w:jc w:val="both"/>
        <w:rPr>
          <w:rFonts w:ascii="Times New Roman" w:hAnsi="Times New Roman" w:cs="Times New Roman"/>
          <w:lang w:val="sr-RS"/>
        </w:rPr>
      </w:pPr>
      <w:bookmarkStart w:id="12" w:name="_Toc216443327"/>
      <w:r>
        <w:rPr>
          <w:rStyle w:val="Strong"/>
          <w:rFonts w:cs="Times New Roman" w:ascii="Times New Roman" w:hAnsi="Times New Roman"/>
          <w:color w:themeColor="text1" w:val="000000"/>
          <w:lang w:val="sr-RS"/>
        </w:rPr>
        <w:t>Оперативни циљ 6:</w:t>
      </w:r>
      <w:bookmarkEnd w:id="12"/>
    </w:p>
    <w:p>
      <w:pPr>
        <w:pStyle w:val="NormalWeb"/>
        <w:spacing w:before="280" w:after="280"/>
        <w:jc w:val="both"/>
        <w:rPr>
          <w:lang w:val="sr-RS"/>
        </w:rPr>
      </w:pPr>
      <w:r>
        <w:rPr>
          <w:rStyle w:val="Strong"/>
          <w:color w:themeColor="text1" w:val="000000"/>
          <w:lang w:val="sr-RS"/>
        </w:rPr>
        <w:t>Развој садржаја за младе и подстицање друштвеног ангажмана</w:t>
      </w:r>
    </w:p>
    <w:p>
      <w:pPr>
        <w:pStyle w:val="NormalWeb"/>
        <w:spacing w:before="280" w:after="280"/>
        <w:jc w:val="both"/>
        <w:rPr>
          <w:lang w:val="sr-RS"/>
        </w:rPr>
      </w:pPr>
      <w:r>
        <w:rPr>
          <w:rStyle w:val="Strong"/>
          <w:color w:themeColor="text1" w:val="000000"/>
          <w:lang w:val="sr-RS"/>
        </w:rPr>
        <w:t>Фокус:</w:t>
      </w:r>
      <w:r>
        <w:rPr>
          <w:color w:themeColor="text1" w:val="000000"/>
          <w:lang w:val="sr-RS"/>
        </w:rPr>
        <w:t xml:space="preserve"> културни, спортски и едукативни програми, омладински центар, подршка иницијативама младих.</w:t>
      </w:r>
    </w:p>
    <w:p>
      <w:pPr>
        <w:pStyle w:val="NormalWeb"/>
        <w:spacing w:before="280" w:after="280"/>
        <w:jc w:val="both"/>
        <w:rPr>
          <w:lang w:val="sr-RS"/>
        </w:rPr>
      </w:pPr>
      <w:r>
        <w:rPr>
          <w:rStyle w:val="Strong"/>
          <w:color w:themeColor="text1" w:val="000000"/>
          <w:lang w:val="sr-RS"/>
        </w:rPr>
        <w:t>Разлог:</w:t>
      </w:r>
      <w:r>
        <w:rPr>
          <w:color w:themeColor="text1" w:val="000000"/>
          <w:lang w:val="sr-RS"/>
        </w:rPr>
        <w:t xml:space="preserve"> Недостатак садржаја за младе директно утиче на њихово осамостаљивање и одлуку да остану у општини.</w:t>
      </w:r>
    </w:p>
    <w:p>
      <w:pPr>
        <w:pStyle w:val="NormalWeb"/>
        <w:spacing w:before="280" w:after="280"/>
        <w:jc w:val="both"/>
        <w:rPr>
          <w:lang w:val="sr-RS"/>
        </w:rPr>
      </w:pPr>
      <w:r>
        <w:rPr>
          <w:lang w:val="sr-RS"/>
        </w:rPr>
        <w:t>Предложени оперативни циљеви заједно чине структуриран и свеобухватан механизам за унапређивање демографске ситуације у општини Беочин. Они покривају све критичне области — од раног детињства и образовања, преко здравствене и социјалне подршке, до економског оснаживања, инфраструктуре и активног учешћа младих. Комбиновањем системских мера, интерсекторске сарадње и локално прилагођених решења, ови циљеви постављају јасну основу за доследно и одрживо спровођење ЛАП-а.</w:t>
      </w:r>
    </w:p>
    <w:p>
      <w:pPr>
        <w:pStyle w:val="Heading1"/>
        <w:numPr>
          <w:ilvl w:val="0"/>
          <w:numId w:val="55"/>
        </w:numPr>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ОПЕРАТИВНИ ОКВИР ЛАП-а ОПШТИНЕ БЕОЧИН: ОБЛАСТИ, МЕРЕ, НОСИОЦИ И РОКОВИ</w:t>
      </w:r>
    </w:p>
    <w:p>
      <w:pPr>
        <w:pStyle w:val="Heading2"/>
        <w:spacing w:before="280" w:after="280"/>
        <w:jc w:val="both"/>
        <w:rPr>
          <w:sz w:val="24"/>
          <w:szCs w:val="24"/>
          <w:lang w:val="sr-RS"/>
        </w:rPr>
      </w:pPr>
      <w:r>
        <w:rPr>
          <w:rStyle w:val="Strong"/>
          <w:b/>
          <w:bCs/>
          <w:color w:themeColor="text1" w:val="000000"/>
          <w:sz w:val="24"/>
          <w:szCs w:val="24"/>
          <w:lang w:val="sr-RS"/>
        </w:rPr>
        <w:t>ОБЛАСТ 1: Подршка родитељству и раном развоју детета</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1.1. Унапређење доступности и квалитета предшколског васпитања</w:t>
      </w:r>
    </w:p>
    <w:p>
      <w:pPr>
        <w:pStyle w:val="NormalWeb"/>
        <w:numPr>
          <w:ilvl w:val="0"/>
          <w:numId w:val="36"/>
        </w:numPr>
        <w:spacing w:before="280" w:after="0"/>
        <w:jc w:val="both"/>
        <w:rPr>
          <w:lang w:val="sr-RS"/>
        </w:rPr>
      </w:pPr>
      <w:r>
        <w:rPr>
          <w:rStyle w:val="Strong"/>
          <w:color w:themeColor="text1" w:val="000000"/>
          <w:lang w:val="sr-RS"/>
        </w:rPr>
        <w:t>Опис мере:</w:t>
      </w:r>
      <w:r>
        <w:rPr>
          <w:color w:themeColor="text1" w:val="000000"/>
          <w:lang w:val="sr-RS"/>
        </w:rPr>
        <w:t xml:space="preserve"> Повећање капацитета ПУ „Љуба Станковић“, адаптација простора, техничко опремање, отварање додатних група.</w:t>
      </w:r>
    </w:p>
    <w:p>
      <w:pPr>
        <w:pStyle w:val="NormalWeb"/>
        <w:numPr>
          <w:ilvl w:val="0"/>
          <w:numId w:val="36"/>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Беочин; ПУ „Љуба Станковић“</w:t>
      </w:r>
    </w:p>
    <w:p>
      <w:pPr>
        <w:pStyle w:val="NormalWeb"/>
        <w:numPr>
          <w:ilvl w:val="0"/>
          <w:numId w:val="36"/>
        </w:numPr>
        <w:spacing w:before="0" w:after="0"/>
        <w:jc w:val="both"/>
        <w:rPr>
          <w:lang w:val="sr-RS"/>
        </w:rPr>
      </w:pPr>
      <w:r>
        <w:rPr>
          <w:rStyle w:val="Strong"/>
          <w:color w:themeColor="text1" w:val="000000"/>
          <w:lang w:val="sr-RS"/>
        </w:rPr>
        <w:t>Партнери:</w:t>
      </w:r>
      <w:r>
        <w:rPr>
          <w:color w:themeColor="text1" w:val="000000"/>
          <w:lang w:val="sr-RS"/>
        </w:rPr>
        <w:t xml:space="preserve"> Покрајински секретаријати; школе; КЦСР</w:t>
      </w:r>
    </w:p>
    <w:p>
      <w:pPr>
        <w:pStyle w:val="NormalWeb"/>
        <w:numPr>
          <w:ilvl w:val="0"/>
          <w:numId w:val="36"/>
        </w:numPr>
        <w:spacing w:before="0" w:after="280"/>
        <w:jc w:val="both"/>
        <w:rPr>
          <w:lang w:val="sr-RS"/>
        </w:rPr>
      </w:pPr>
      <w:r>
        <w:rPr>
          <w:rStyle w:val="Strong"/>
          <w:color w:themeColor="text1" w:val="000000"/>
          <w:lang w:val="sr-RS"/>
        </w:rPr>
        <w:t>Рок:</w:t>
      </w:r>
      <w:r>
        <w:rPr>
          <w:color w:themeColor="text1" w:val="000000"/>
          <w:lang w:val="sr-RS"/>
        </w:rPr>
        <w:t xml:space="preserve"> 2026–2028.</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1.2. Јачање здравствене заштите трудница, породиља и беба</w:t>
      </w:r>
    </w:p>
    <w:p>
      <w:pPr>
        <w:pStyle w:val="NormalWeb"/>
        <w:numPr>
          <w:ilvl w:val="0"/>
          <w:numId w:val="37"/>
        </w:numPr>
        <w:spacing w:before="280" w:after="0"/>
        <w:jc w:val="both"/>
        <w:rPr>
          <w:lang w:val="sr-RS"/>
        </w:rPr>
      </w:pPr>
      <w:r>
        <w:rPr>
          <w:rStyle w:val="Strong"/>
          <w:color w:themeColor="text1" w:val="000000"/>
          <w:lang w:val="sr-RS"/>
        </w:rPr>
        <w:t>Опис мере:</w:t>
      </w:r>
      <w:r>
        <w:rPr>
          <w:color w:themeColor="text1" w:val="000000"/>
          <w:lang w:val="sr-RS"/>
        </w:rPr>
        <w:t xml:space="preserve"> Проширење обима патронажних посета, медицинска опрема за Дом здравља, кампање о репродуктивном здрављу.</w:t>
      </w:r>
    </w:p>
    <w:p>
      <w:pPr>
        <w:pStyle w:val="NormalWeb"/>
        <w:numPr>
          <w:ilvl w:val="0"/>
          <w:numId w:val="37"/>
        </w:numPr>
        <w:spacing w:before="0" w:after="0"/>
        <w:jc w:val="both"/>
        <w:rPr>
          <w:lang w:val="sr-RS"/>
        </w:rPr>
      </w:pPr>
      <w:r>
        <w:rPr>
          <w:rStyle w:val="Strong"/>
          <w:color w:themeColor="text1" w:val="000000"/>
          <w:lang w:val="sr-RS"/>
        </w:rPr>
        <w:t>Носилац:</w:t>
      </w:r>
      <w:r>
        <w:rPr>
          <w:color w:themeColor="text1" w:val="000000"/>
          <w:lang w:val="sr-RS"/>
        </w:rPr>
        <w:t xml:space="preserve"> Дом здравља „Др Душан Савић Дода“</w:t>
      </w:r>
    </w:p>
    <w:p>
      <w:pPr>
        <w:pStyle w:val="NormalWeb"/>
        <w:numPr>
          <w:ilvl w:val="0"/>
          <w:numId w:val="37"/>
        </w:numPr>
        <w:spacing w:before="0" w:after="0"/>
        <w:jc w:val="both"/>
        <w:rPr>
          <w:lang w:val="sr-RS"/>
        </w:rPr>
      </w:pPr>
      <w:r>
        <w:rPr>
          <w:rStyle w:val="Strong"/>
          <w:color w:themeColor="text1" w:val="000000"/>
          <w:lang w:val="sr-RS"/>
        </w:rPr>
        <w:t>Партнери:</w:t>
      </w:r>
      <w:r>
        <w:rPr>
          <w:color w:themeColor="text1" w:val="000000"/>
          <w:lang w:val="sr-RS"/>
        </w:rPr>
        <w:t xml:space="preserve"> Општина Беочин; ИЗЈЗ; ЦСР</w:t>
      </w:r>
    </w:p>
    <w:p>
      <w:pPr>
        <w:pStyle w:val="NormalWeb"/>
        <w:numPr>
          <w:ilvl w:val="0"/>
          <w:numId w:val="37"/>
        </w:numPr>
        <w:spacing w:before="0" w:after="280"/>
        <w:jc w:val="both"/>
        <w:rPr>
          <w:lang w:val="sr-RS"/>
        </w:rPr>
      </w:pPr>
      <w:r>
        <w:rPr>
          <w:rStyle w:val="Strong"/>
          <w:color w:themeColor="text1" w:val="000000"/>
          <w:lang w:val="sr-RS"/>
        </w:rPr>
        <w:t>Рок:</w:t>
      </w:r>
      <w:r>
        <w:rPr>
          <w:color w:themeColor="text1" w:val="000000"/>
          <w:lang w:val="sr-RS"/>
        </w:rPr>
        <w:t xml:space="preserve"> Континуирано, 2026–2028.</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1.3. Саветовалишта за родитеље</w:t>
      </w:r>
    </w:p>
    <w:p>
      <w:pPr>
        <w:pStyle w:val="NormalWeb"/>
        <w:numPr>
          <w:ilvl w:val="0"/>
          <w:numId w:val="38"/>
        </w:numPr>
        <w:spacing w:before="280" w:after="0"/>
        <w:jc w:val="both"/>
        <w:rPr>
          <w:lang w:val="sr-RS"/>
        </w:rPr>
      </w:pPr>
      <w:r>
        <w:rPr>
          <w:rStyle w:val="Strong"/>
          <w:color w:themeColor="text1" w:val="000000"/>
          <w:lang w:val="sr-RS"/>
        </w:rPr>
        <w:t>Опис мере:</w:t>
      </w:r>
      <w:r>
        <w:rPr>
          <w:color w:themeColor="text1" w:val="000000"/>
          <w:lang w:val="sr-RS"/>
        </w:rPr>
        <w:t xml:space="preserve"> Успостављање програма подршке за труднице, породиље, младе родитеље и самохране родитеље.</w:t>
      </w:r>
    </w:p>
    <w:p>
      <w:pPr>
        <w:pStyle w:val="NormalWeb"/>
        <w:numPr>
          <w:ilvl w:val="0"/>
          <w:numId w:val="38"/>
        </w:numPr>
        <w:spacing w:before="0" w:after="0"/>
        <w:jc w:val="both"/>
        <w:rPr>
          <w:lang w:val="sr-RS"/>
        </w:rPr>
      </w:pPr>
      <w:r>
        <w:rPr>
          <w:rStyle w:val="Strong"/>
          <w:color w:themeColor="text1" w:val="000000"/>
          <w:lang w:val="sr-RS"/>
        </w:rPr>
        <w:t>Носилац:</w:t>
      </w:r>
      <w:r>
        <w:rPr>
          <w:color w:themeColor="text1" w:val="000000"/>
          <w:lang w:val="sr-RS"/>
        </w:rPr>
        <w:t xml:space="preserve"> Центар за социјални рад</w:t>
      </w:r>
    </w:p>
    <w:p>
      <w:pPr>
        <w:pStyle w:val="NormalWeb"/>
        <w:numPr>
          <w:ilvl w:val="0"/>
          <w:numId w:val="38"/>
        </w:numPr>
        <w:spacing w:before="0" w:after="0"/>
        <w:jc w:val="both"/>
        <w:rPr>
          <w:lang w:val="sr-RS"/>
        </w:rPr>
      </w:pPr>
      <w:r>
        <w:rPr>
          <w:rStyle w:val="Strong"/>
          <w:color w:themeColor="text1" w:val="000000"/>
          <w:lang w:val="sr-RS"/>
        </w:rPr>
        <w:t>Партнери:</w:t>
      </w:r>
      <w:r>
        <w:rPr>
          <w:color w:themeColor="text1" w:val="000000"/>
          <w:lang w:val="sr-RS"/>
        </w:rPr>
        <w:t xml:space="preserve"> Дом здравља; НВО сектор; школа родитељства</w:t>
      </w:r>
    </w:p>
    <w:p>
      <w:pPr>
        <w:pStyle w:val="NormalWeb"/>
        <w:numPr>
          <w:ilvl w:val="0"/>
          <w:numId w:val="38"/>
        </w:numPr>
        <w:spacing w:before="0" w:after="280"/>
        <w:jc w:val="both"/>
        <w:rPr>
          <w:lang w:val="sr-RS"/>
        </w:rPr>
      </w:pPr>
      <w:r>
        <w:rPr>
          <w:rStyle w:val="Strong"/>
          <w:color w:themeColor="text1" w:val="000000"/>
          <w:lang w:val="sr-RS"/>
        </w:rPr>
        <w:t>Рок:</w:t>
      </w:r>
      <w:r>
        <w:rPr>
          <w:color w:themeColor="text1" w:val="000000"/>
          <w:lang w:val="sr-RS"/>
        </w:rPr>
        <w:t xml:space="preserve"> Од 2026.</w:t>
      </w:r>
    </w:p>
    <w:p>
      <w:pPr>
        <w:pStyle w:val="Heading2"/>
        <w:spacing w:before="280" w:after="280"/>
        <w:jc w:val="both"/>
        <w:rPr>
          <w:sz w:val="24"/>
          <w:szCs w:val="24"/>
          <w:lang w:val="sr-RS"/>
        </w:rPr>
      </w:pPr>
      <w:r>
        <w:rPr>
          <w:rStyle w:val="Strong"/>
          <w:b/>
          <w:bCs/>
          <w:color w:themeColor="text1" w:val="000000"/>
          <w:sz w:val="24"/>
          <w:szCs w:val="24"/>
          <w:lang w:val="sr-RS"/>
        </w:rPr>
        <w:t>ОБЛАСТ 2: Образовање и подршка младима</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2.1. Унапређење услова у школама, посебно у руралним подручјима</w:t>
      </w:r>
    </w:p>
    <w:p>
      <w:pPr>
        <w:pStyle w:val="NormalWeb"/>
        <w:numPr>
          <w:ilvl w:val="0"/>
          <w:numId w:val="39"/>
        </w:numPr>
        <w:spacing w:before="280" w:after="0"/>
        <w:jc w:val="both"/>
        <w:rPr>
          <w:lang w:val="sr-RS"/>
        </w:rPr>
      </w:pPr>
      <w:r>
        <w:rPr>
          <w:rStyle w:val="Strong"/>
          <w:color w:themeColor="text1" w:val="000000"/>
          <w:lang w:val="sr-RS"/>
        </w:rPr>
        <w:t>Опис мере:</w:t>
      </w:r>
      <w:r>
        <w:rPr>
          <w:color w:themeColor="text1" w:val="000000"/>
          <w:lang w:val="sr-RS"/>
        </w:rPr>
        <w:t xml:space="preserve"> Опремање подручних одељења, набавка наставних средстава, дигитална учионица.</w:t>
      </w:r>
    </w:p>
    <w:p>
      <w:pPr>
        <w:pStyle w:val="NormalWeb"/>
        <w:numPr>
          <w:ilvl w:val="0"/>
          <w:numId w:val="39"/>
        </w:numPr>
        <w:spacing w:before="0" w:after="0"/>
        <w:jc w:val="both"/>
        <w:rPr>
          <w:lang w:val="sr-RS"/>
        </w:rPr>
      </w:pPr>
      <w:r>
        <w:rPr>
          <w:rStyle w:val="Strong"/>
          <w:color w:themeColor="text1" w:val="000000"/>
          <w:lang w:val="sr-RS"/>
        </w:rPr>
        <w:t>Носилац:</w:t>
      </w:r>
      <w:r>
        <w:rPr>
          <w:color w:themeColor="text1" w:val="000000"/>
          <w:lang w:val="sr-RS"/>
        </w:rPr>
        <w:t xml:space="preserve"> ОШ „Јован Грчић Миленко“, ОШ „Јован Поповић“–Сусек</w:t>
      </w:r>
    </w:p>
    <w:p>
      <w:pPr>
        <w:pStyle w:val="NormalWeb"/>
        <w:numPr>
          <w:ilvl w:val="0"/>
          <w:numId w:val="39"/>
        </w:numPr>
        <w:spacing w:before="0" w:after="0"/>
        <w:jc w:val="both"/>
        <w:rPr>
          <w:lang w:val="sr-RS"/>
        </w:rPr>
      </w:pPr>
      <w:r>
        <w:rPr>
          <w:rStyle w:val="Strong"/>
          <w:color w:themeColor="text1" w:val="000000"/>
          <w:lang w:val="sr-RS"/>
        </w:rPr>
        <w:t>Партнери:</w:t>
      </w:r>
      <w:r>
        <w:rPr>
          <w:color w:themeColor="text1" w:val="000000"/>
          <w:lang w:val="sr-RS"/>
        </w:rPr>
        <w:t xml:space="preserve"> Општина; МПНТР</w:t>
      </w:r>
    </w:p>
    <w:p>
      <w:pPr>
        <w:pStyle w:val="NormalWeb"/>
        <w:numPr>
          <w:ilvl w:val="0"/>
          <w:numId w:val="39"/>
        </w:numPr>
        <w:spacing w:before="0" w:after="280"/>
        <w:jc w:val="both"/>
        <w:rPr>
          <w:lang w:val="sr-RS"/>
        </w:rPr>
      </w:pPr>
      <w:r>
        <w:rPr>
          <w:rStyle w:val="Strong"/>
          <w:color w:themeColor="text1" w:val="000000"/>
          <w:lang w:val="sr-RS"/>
        </w:rPr>
        <w:t>Рок:</w:t>
      </w:r>
      <w:r>
        <w:rPr>
          <w:color w:themeColor="text1" w:val="000000"/>
          <w:lang w:val="sr-RS"/>
        </w:rPr>
        <w:t xml:space="preserve"> 2026–2028.</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2.2. Развој програма за младе</w:t>
      </w:r>
    </w:p>
    <w:p>
      <w:pPr>
        <w:pStyle w:val="NormalWeb"/>
        <w:numPr>
          <w:ilvl w:val="0"/>
          <w:numId w:val="40"/>
        </w:numPr>
        <w:spacing w:before="280" w:after="0"/>
        <w:jc w:val="both"/>
        <w:rPr>
          <w:lang w:val="sr-RS"/>
        </w:rPr>
      </w:pPr>
      <w:r>
        <w:rPr>
          <w:rStyle w:val="Strong"/>
          <w:color w:themeColor="text1" w:val="000000"/>
          <w:lang w:val="sr-RS"/>
        </w:rPr>
        <w:t>Опис мере:</w:t>
      </w:r>
      <w:r>
        <w:rPr>
          <w:color w:themeColor="text1" w:val="000000"/>
          <w:lang w:val="sr-RS"/>
        </w:rPr>
        <w:t xml:space="preserve"> Културни, спортски и едукативни садржаји; омладински клубови; волонтерски програми.</w:t>
      </w:r>
    </w:p>
    <w:p>
      <w:pPr>
        <w:pStyle w:val="NormalWeb"/>
        <w:numPr>
          <w:ilvl w:val="0"/>
          <w:numId w:val="40"/>
        </w:numPr>
        <w:spacing w:before="0" w:after="0"/>
        <w:jc w:val="both"/>
        <w:rPr>
          <w:lang w:val="sr-RS"/>
        </w:rPr>
      </w:pPr>
      <w:r>
        <w:rPr>
          <w:rStyle w:val="Strong"/>
          <w:color w:themeColor="text1" w:val="000000"/>
          <w:lang w:val="sr-RS"/>
        </w:rPr>
        <w:t>Носилац:</w:t>
      </w:r>
      <w:r>
        <w:rPr>
          <w:color w:themeColor="text1" w:val="000000"/>
          <w:lang w:val="sr-RS"/>
        </w:rPr>
        <w:t xml:space="preserve"> Културни центар; Туристичка организација Беочин</w:t>
      </w:r>
    </w:p>
    <w:p>
      <w:pPr>
        <w:pStyle w:val="NormalWeb"/>
        <w:numPr>
          <w:ilvl w:val="0"/>
          <w:numId w:val="40"/>
        </w:numPr>
        <w:spacing w:before="0" w:after="0"/>
        <w:jc w:val="both"/>
        <w:rPr>
          <w:lang w:val="sr-RS"/>
        </w:rPr>
      </w:pPr>
      <w:r>
        <w:rPr>
          <w:rStyle w:val="Strong"/>
          <w:color w:themeColor="text1" w:val="000000"/>
          <w:lang w:val="sr-RS"/>
        </w:rPr>
        <w:t>Партнери:</w:t>
      </w:r>
      <w:r>
        <w:rPr>
          <w:color w:themeColor="text1" w:val="000000"/>
          <w:lang w:val="sr-RS"/>
        </w:rPr>
        <w:t xml:space="preserve"> НВО; спортски клубови; школе</w:t>
      </w:r>
    </w:p>
    <w:p>
      <w:pPr>
        <w:pStyle w:val="NormalWeb"/>
        <w:numPr>
          <w:ilvl w:val="0"/>
          <w:numId w:val="40"/>
        </w:numPr>
        <w:spacing w:before="0" w:after="280"/>
        <w:jc w:val="both"/>
        <w:rPr>
          <w:lang w:val="sr-RS"/>
        </w:rPr>
      </w:pPr>
      <w:r>
        <w:rPr>
          <w:rStyle w:val="Strong"/>
          <w:color w:themeColor="text1" w:val="000000"/>
          <w:lang w:val="sr-RS"/>
        </w:rPr>
        <w:t>Рок:</w:t>
      </w:r>
      <w:r>
        <w:rPr>
          <w:color w:themeColor="text1" w:val="000000"/>
          <w:lang w:val="sr-RS"/>
        </w:rPr>
        <w:t xml:space="preserve"> Континуирано</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2.3. Подршка ученицима и студентима</w:t>
      </w:r>
    </w:p>
    <w:p>
      <w:pPr>
        <w:pStyle w:val="NormalWeb"/>
        <w:numPr>
          <w:ilvl w:val="0"/>
          <w:numId w:val="41"/>
        </w:numPr>
        <w:spacing w:before="280" w:after="0"/>
        <w:jc w:val="both"/>
        <w:rPr>
          <w:lang w:val="sr-RS"/>
        </w:rPr>
      </w:pPr>
      <w:r>
        <w:rPr>
          <w:rStyle w:val="Strong"/>
          <w:color w:themeColor="text1" w:val="000000"/>
          <w:lang w:val="sr-RS"/>
        </w:rPr>
        <w:t>Опис мере:</w:t>
      </w:r>
      <w:r>
        <w:rPr>
          <w:color w:themeColor="text1" w:val="000000"/>
          <w:lang w:val="sr-RS"/>
        </w:rPr>
        <w:t xml:space="preserve"> Стипендије, једнократне подршке, превоз, подршка деци из рањивих група.</w:t>
      </w:r>
    </w:p>
    <w:p>
      <w:pPr>
        <w:pStyle w:val="NormalWeb"/>
        <w:numPr>
          <w:ilvl w:val="0"/>
          <w:numId w:val="41"/>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Беочин</w:t>
      </w:r>
    </w:p>
    <w:p>
      <w:pPr>
        <w:pStyle w:val="NormalWeb"/>
        <w:numPr>
          <w:ilvl w:val="0"/>
          <w:numId w:val="41"/>
        </w:numPr>
        <w:spacing w:before="0" w:after="0"/>
        <w:jc w:val="both"/>
        <w:rPr>
          <w:lang w:val="sr-RS"/>
        </w:rPr>
      </w:pPr>
      <w:r>
        <w:rPr>
          <w:rStyle w:val="Strong"/>
          <w:color w:themeColor="text1" w:val="000000"/>
          <w:lang w:val="sr-RS"/>
        </w:rPr>
        <w:t>Партнери:</w:t>
      </w:r>
      <w:r>
        <w:rPr>
          <w:color w:themeColor="text1" w:val="000000"/>
          <w:lang w:val="sr-RS"/>
        </w:rPr>
        <w:t xml:space="preserve"> Центар за социјални рад; школе</w:t>
      </w:r>
    </w:p>
    <w:p>
      <w:pPr>
        <w:pStyle w:val="NormalWeb"/>
        <w:numPr>
          <w:ilvl w:val="0"/>
          <w:numId w:val="41"/>
        </w:numPr>
        <w:spacing w:before="0" w:after="280"/>
        <w:jc w:val="both"/>
        <w:rPr>
          <w:lang w:val="sr-RS"/>
        </w:rPr>
      </w:pPr>
      <w:r>
        <w:rPr>
          <w:rStyle w:val="Strong"/>
          <w:color w:themeColor="text1" w:val="000000"/>
          <w:lang w:val="sr-RS"/>
        </w:rPr>
        <w:t>Рок:</w:t>
      </w:r>
      <w:r>
        <w:rPr>
          <w:color w:themeColor="text1" w:val="000000"/>
          <w:lang w:val="sr-RS"/>
        </w:rPr>
        <w:t xml:space="preserve"> Школске године 2026–2028.</w:t>
      </w:r>
    </w:p>
    <w:p>
      <w:pPr>
        <w:pStyle w:val="Heading2"/>
        <w:spacing w:before="280" w:after="280"/>
        <w:jc w:val="both"/>
        <w:rPr>
          <w:sz w:val="24"/>
          <w:szCs w:val="24"/>
          <w:lang w:val="sr-RS"/>
        </w:rPr>
      </w:pPr>
      <w:r>
        <w:rPr>
          <w:rStyle w:val="Strong"/>
          <w:b/>
          <w:bCs/>
          <w:color w:themeColor="text1" w:val="000000"/>
          <w:sz w:val="24"/>
          <w:szCs w:val="24"/>
          <w:lang w:val="sr-RS"/>
        </w:rPr>
        <w:t>ОБЛАСТ 3: Инфраструктура и квалитет живота</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3.1. Унапређење путне и комуналне инфраструктуре у руралним насељима</w:t>
      </w:r>
    </w:p>
    <w:p>
      <w:pPr>
        <w:pStyle w:val="NormalWeb"/>
        <w:numPr>
          <w:ilvl w:val="0"/>
          <w:numId w:val="42"/>
        </w:numPr>
        <w:spacing w:before="280" w:after="0"/>
        <w:jc w:val="both"/>
        <w:rPr>
          <w:lang w:val="sr-RS"/>
        </w:rPr>
      </w:pPr>
      <w:r>
        <w:rPr>
          <w:rStyle w:val="Strong"/>
          <w:color w:themeColor="text1" w:val="000000"/>
          <w:lang w:val="sr-RS"/>
        </w:rPr>
        <w:t>Опис мере:</w:t>
      </w:r>
      <w:r>
        <w:rPr>
          <w:color w:themeColor="text1" w:val="000000"/>
          <w:lang w:val="sr-RS"/>
        </w:rPr>
        <w:t xml:space="preserve"> Реконструкција путева, јавна расвета, канализација.</w:t>
      </w:r>
    </w:p>
    <w:p>
      <w:pPr>
        <w:pStyle w:val="NormalWeb"/>
        <w:numPr>
          <w:ilvl w:val="0"/>
          <w:numId w:val="42"/>
        </w:numPr>
        <w:spacing w:before="0" w:after="0"/>
        <w:jc w:val="both"/>
        <w:rPr>
          <w:lang w:val="sr-RS"/>
        </w:rPr>
      </w:pPr>
      <w:r>
        <w:rPr>
          <w:rStyle w:val="Strong"/>
          <w:color w:themeColor="text1" w:val="000000"/>
          <w:lang w:val="sr-RS"/>
        </w:rPr>
        <w:t>Носилац:</w:t>
      </w:r>
      <w:r>
        <w:rPr>
          <w:color w:themeColor="text1" w:val="000000"/>
          <w:lang w:val="sr-RS"/>
        </w:rPr>
        <w:t xml:space="preserve"> Општинске службе; ЈКП</w:t>
      </w:r>
    </w:p>
    <w:p>
      <w:pPr>
        <w:pStyle w:val="NormalWeb"/>
        <w:numPr>
          <w:ilvl w:val="0"/>
          <w:numId w:val="42"/>
        </w:numPr>
        <w:spacing w:before="0" w:after="0"/>
        <w:jc w:val="both"/>
        <w:rPr>
          <w:lang w:val="sr-RS"/>
        </w:rPr>
      </w:pPr>
      <w:r>
        <w:rPr>
          <w:rStyle w:val="Strong"/>
          <w:color w:themeColor="text1" w:val="000000"/>
          <w:lang w:val="sr-RS"/>
        </w:rPr>
        <w:t>Партнери:</w:t>
      </w:r>
      <w:r>
        <w:rPr>
          <w:color w:themeColor="text1" w:val="000000"/>
          <w:lang w:val="sr-RS"/>
        </w:rPr>
        <w:t xml:space="preserve"> Покрајина; Република</w:t>
      </w:r>
    </w:p>
    <w:p>
      <w:pPr>
        <w:pStyle w:val="NormalWeb"/>
        <w:numPr>
          <w:ilvl w:val="0"/>
          <w:numId w:val="42"/>
        </w:numPr>
        <w:spacing w:before="0" w:after="280"/>
        <w:jc w:val="both"/>
        <w:rPr>
          <w:lang w:val="sr-RS"/>
        </w:rPr>
      </w:pPr>
      <w:r>
        <w:rPr>
          <w:rStyle w:val="Strong"/>
          <w:color w:themeColor="text1" w:val="000000"/>
          <w:lang w:val="sr-RS"/>
        </w:rPr>
        <w:t>Рок:</w:t>
      </w:r>
      <w:r>
        <w:rPr>
          <w:color w:themeColor="text1" w:val="000000"/>
          <w:lang w:val="sr-RS"/>
        </w:rPr>
        <w:t xml:space="preserve"> 2026–2028.</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3.2. Јачање јавног превоза</w:t>
      </w:r>
    </w:p>
    <w:p>
      <w:pPr>
        <w:pStyle w:val="NormalWeb"/>
        <w:numPr>
          <w:ilvl w:val="0"/>
          <w:numId w:val="43"/>
        </w:numPr>
        <w:spacing w:before="280" w:after="0"/>
        <w:jc w:val="both"/>
        <w:rPr>
          <w:lang w:val="sr-RS"/>
        </w:rPr>
      </w:pPr>
      <w:r>
        <w:rPr>
          <w:rStyle w:val="Strong"/>
          <w:color w:themeColor="text1" w:val="000000"/>
          <w:lang w:val="sr-RS"/>
        </w:rPr>
        <w:t>Опис мере:</w:t>
      </w:r>
      <w:r>
        <w:rPr>
          <w:color w:themeColor="text1" w:val="000000"/>
          <w:lang w:val="sr-RS"/>
        </w:rPr>
        <w:t xml:space="preserve"> Успостављање или повећање фреквенције линија, прилагођених ученицима и радницима.</w:t>
      </w:r>
    </w:p>
    <w:p>
      <w:pPr>
        <w:pStyle w:val="NormalWeb"/>
        <w:numPr>
          <w:ilvl w:val="0"/>
          <w:numId w:val="43"/>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Беочин</w:t>
      </w:r>
    </w:p>
    <w:p>
      <w:pPr>
        <w:pStyle w:val="NormalWeb"/>
        <w:numPr>
          <w:ilvl w:val="0"/>
          <w:numId w:val="43"/>
        </w:numPr>
        <w:spacing w:before="0" w:after="0"/>
        <w:jc w:val="both"/>
        <w:rPr>
          <w:lang w:val="sr-RS"/>
        </w:rPr>
      </w:pPr>
      <w:r>
        <w:rPr>
          <w:rStyle w:val="Strong"/>
          <w:color w:themeColor="text1" w:val="000000"/>
          <w:lang w:val="sr-RS"/>
        </w:rPr>
        <w:t>Партнери:</w:t>
      </w:r>
      <w:r>
        <w:rPr>
          <w:color w:themeColor="text1" w:val="000000"/>
          <w:lang w:val="sr-RS"/>
        </w:rPr>
        <w:t xml:space="preserve"> Превозници; школе</w:t>
      </w:r>
    </w:p>
    <w:p>
      <w:pPr>
        <w:pStyle w:val="NormalWeb"/>
        <w:numPr>
          <w:ilvl w:val="0"/>
          <w:numId w:val="43"/>
        </w:numPr>
        <w:spacing w:before="0" w:after="280"/>
        <w:jc w:val="both"/>
        <w:rPr>
          <w:lang w:val="sr-RS"/>
        </w:rPr>
      </w:pPr>
      <w:r>
        <w:rPr>
          <w:rStyle w:val="Strong"/>
          <w:color w:themeColor="text1" w:val="000000"/>
          <w:lang w:val="sr-RS"/>
        </w:rPr>
        <w:t>Рок:</w:t>
      </w:r>
      <w:r>
        <w:rPr>
          <w:color w:themeColor="text1" w:val="000000"/>
          <w:lang w:val="sr-RS"/>
        </w:rPr>
        <w:t xml:space="preserve"> 2026.</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3.3. Развој јавних простора за породице</w:t>
      </w:r>
    </w:p>
    <w:p>
      <w:pPr>
        <w:pStyle w:val="NormalWeb"/>
        <w:numPr>
          <w:ilvl w:val="0"/>
          <w:numId w:val="44"/>
        </w:numPr>
        <w:spacing w:before="280" w:after="0"/>
        <w:jc w:val="both"/>
        <w:rPr>
          <w:lang w:val="sr-RS"/>
        </w:rPr>
      </w:pPr>
      <w:r>
        <w:rPr>
          <w:rStyle w:val="Strong"/>
          <w:color w:themeColor="text1" w:val="000000"/>
          <w:lang w:val="sr-RS"/>
        </w:rPr>
        <w:t>Опис мере:</w:t>
      </w:r>
      <w:r>
        <w:rPr>
          <w:color w:themeColor="text1" w:val="000000"/>
          <w:lang w:val="sr-RS"/>
        </w:rPr>
        <w:t xml:space="preserve"> Уређење игралишта, паркoва, зона за рекреацију.</w:t>
      </w:r>
    </w:p>
    <w:p>
      <w:pPr>
        <w:pStyle w:val="NormalWeb"/>
        <w:numPr>
          <w:ilvl w:val="0"/>
          <w:numId w:val="44"/>
        </w:numPr>
        <w:spacing w:before="0" w:after="0"/>
        <w:jc w:val="both"/>
        <w:rPr>
          <w:lang w:val="sr-RS"/>
        </w:rPr>
      </w:pPr>
      <w:r>
        <w:rPr>
          <w:rStyle w:val="Strong"/>
          <w:color w:themeColor="text1" w:val="000000"/>
          <w:lang w:val="sr-RS"/>
        </w:rPr>
        <w:t>Носилац:</w:t>
      </w:r>
      <w:r>
        <w:rPr>
          <w:color w:themeColor="text1" w:val="000000"/>
          <w:lang w:val="sr-RS"/>
        </w:rPr>
        <w:t xml:space="preserve"> Општина; ЈКП</w:t>
      </w:r>
    </w:p>
    <w:p>
      <w:pPr>
        <w:pStyle w:val="NormalWeb"/>
        <w:numPr>
          <w:ilvl w:val="0"/>
          <w:numId w:val="44"/>
        </w:numPr>
        <w:spacing w:before="0" w:after="0"/>
        <w:jc w:val="both"/>
        <w:rPr>
          <w:lang w:val="sr-RS"/>
        </w:rPr>
      </w:pPr>
      <w:r>
        <w:rPr>
          <w:rStyle w:val="Strong"/>
          <w:color w:themeColor="text1" w:val="000000"/>
          <w:lang w:val="sr-RS"/>
        </w:rPr>
        <w:t>Партнери:</w:t>
      </w:r>
      <w:r>
        <w:rPr>
          <w:color w:themeColor="text1" w:val="000000"/>
          <w:lang w:val="sr-RS"/>
        </w:rPr>
        <w:t xml:space="preserve"> НВО; ТО Беочин</w:t>
      </w:r>
    </w:p>
    <w:p>
      <w:pPr>
        <w:pStyle w:val="NormalWeb"/>
        <w:numPr>
          <w:ilvl w:val="0"/>
          <w:numId w:val="44"/>
        </w:numPr>
        <w:spacing w:before="0" w:after="280"/>
        <w:jc w:val="both"/>
        <w:rPr>
          <w:lang w:val="sr-RS"/>
        </w:rPr>
      </w:pPr>
      <w:r>
        <w:rPr>
          <w:rStyle w:val="Strong"/>
          <w:color w:themeColor="text1" w:val="000000"/>
          <w:lang w:val="sr-RS"/>
        </w:rPr>
        <w:t>Рок:</w:t>
      </w:r>
      <w:r>
        <w:rPr>
          <w:color w:themeColor="text1" w:val="000000"/>
          <w:lang w:val="sr-RS"/>
        </w:rPr>
        <w:t xml:space="preserve"> 2026–2028.</w:t>
      </w:r>
    </w:p>
    <w:p>
      <w:pPr>
        <w:pStyle w:val="Heading2"/>
        <w:spacing w:before="280" w:after="280"/>
        <w:jc w:val="both"/>
        <w:rPr>
          <w:sz w:val="24"/>
          <w:szCs w:val="24"/>
          <w:lang w:val="sr-RS"/>
        </w:rPr>
      </w:pPr>
      <w:r>
        <w:rPr>
          <w:rStyle w:val="Strong"/>
          <w:b/>
          <w:bCs/>
          <w:color w:themeColor="text1" w:val="000000"/>
          <w:sz w:val="24"/>
          <w:szCs w:val="24"/>
          <w:lang w:val="sr-RS"/>
        </w:rPr>
        <w:t>ОБЛАСТ 4: Економска подршка младим породицама</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4.1. Финансијска подршка при рођењу детета</w:t>
      </w:r>
    </w:p>
    <w:p>
      <w:pPr>
        <w:pStyle w:val="NormalWeb"/>
        <w:numPr>
          <w:ilvl w:val="0"/>
          <w:numId w:val="45"/>
        </w:numPr>
        <w:spacing w:before="280" w:after="0"/>
        <w:jc w:val="both"/>
        <w:rPr>
          <w:lang w:val="sr-RS"/>
        </w:rPr>
      </w:pPr>
      <w:r>
        <w:rPr>
          <w:rStyle w:val="Strong"/>
          <w:color w:themeColor="text1" w:val="000000"/>
          <w:lang w:val="sr-RS"/>
        </w:rPr>
        <w:t>Опис мере:</w:t>
      </w:r>
      <w:r>
        <w:rPr>
          <w:color w:themeColor="text1" w:val="000000"/>
          <w:lang w:val="sr-RS"/>
        </w:rPr>
        <w:t xml:space="preserve"> Унапређење модела једнократних подстицаја; могућност постепеног увећања износа.</w:t>
      </w:r>
    </w:p>
    <w:p>
      <w:pPr>
        <w:pStyle w:val="NormalWeb"/>
        <w:numPr>
          <w:ilvl w:val="0"/>
          <w:numId w:val="45"/>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Беочин</w:t>
      </w:r>
    </w:p>
    <w:p>
      <w:pPr>
        <w:pStyle w:val="NormalWeb"/>
        <w:numPr>
          <w:ilvl w:val="0"/>
          <w:numId w:val="45"/>
        </w:numPr>
        <w:spacing w:before="0" w:after="0"/>
        <w:jc w:val="both"/>
        <w:rPr>
          <w:lang w:val="sr-RS"/>
        </w:rPr>
      </w:pPr>
      <w:r>
        <w:rPr>
          <w:rStyle w:val="Strong"/>
          <w:color w:themeColor="text1" w:val="000000"/>
          <w:lang w:val="sr-RS"/>
        </w:rPr>
        <w:t>Партнери:</w:t>
      </w:r>
      <w:r>
        <w:rPr>
          <w:color w:themeColor="text1" w:val="000000"/>
          <w:lang w:val="sr-RS"/>
        </w:rPr>
        <w:t xml:space="preserve"> ЦСР; финансијска служба</w:t>
      </w:r>
    </w:p>
    <w:p>
      <w:pPr>
        <w:pStyle w:val="NormalWeb"/>
        <w:numPr>
          <w:ilvl w:val="0"/>
          <w:numId w:val="45"/>
        </w:numPr>
        <w:spacing w:before="0" w:after="280"/>
        <w:jc w:val="both"/>
        <w:rPr>
          <w:lang w:val="sr-RS"/>
        </w:rPr>
      </w:pPr>
      <w:r>
        <w:rPr>
          <w:rStyle w:val="Strong"/>
          <w:color w:themeColor="text1" w:val="000000"/>
          <w:lang w:val="sr-RS"/>
        </w:rPr>
        <w:t>Рок:</w:t>
      </w:r>
      <w:r>
        <w:rPr>
          <w:color w:themeColor="text1" w:val="000000"/>
          <w:lang w:val="sr-RS"/>
        </w:rPr>
        <w:t xml:space="preserve"> 2026.</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4.2. Стамбени подстицаји за младе</w:t>
      </w:r>
    </w:p>
    <w:p>
      <w:pPr>
        <w:pStyle w:val="NormalWeb"/>
        <w:numPr>
          <w:ilvl w:val="0"/>
          <w:numId w:val="46"/>
        </w:numPr>
        <w:spacing w:before="280" w:after="0"/>
        <w:jc w:val="both"/>
        <w:rPr>
          <w:lang w:val="sr-RS"/>
        </w:rPr>
      </w:pPr>
      <w:r>
        <w:rPr>
          <w:rStyle w:val="Strong"/>
          <w:color w:themeColor="text1" w:val="000000"/>
          <w:lang w:val="sr-RS"/>
        </w:rPr>
        <w:t>Опис мере:</w:t>
      </w:r>
      <w:r>
        <w:rPr>
          <w:color w:themeColor="text1" w:val="000000"/>
          <w:lang w:val="sr-RS"/>
        </w:rPr>
        <w:t xml:space="preserve"> Подршка код куповине или адаптације некретнине; субвенције за младе брачне парове.</w:t>
      </w:r>
    </w:p>
    <w:p>
      <w:pPr>
        <w:pStyle w:val="NormalWeb"/>
        <w:numPr>
          <w:ilvl w:val="0"/>
          <w:numId w:val="46"/>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Беочин</w:t>
      </w:r>
    </w:p>
    <w:p>
      <w:pPr>
        <w:pStyle w:val="NormalWeb"/>
        <w:numPr>
          <w:ilvl w:val="0"/>
          <w:numId w:val="46"/>
        </w:numPr>
        <w:spacing w:before="0" w:after="0"/>
        <w:jc w:val="both"/>
        <w:rPr>
          <w:lang w:val="sr-RS"/>
        </w:rPr>
      </w:pPr>
      <w:r>
        <w:rPr>
          <w:rStyle w:val="Strong"/>
          <w:color w:themeColor="text1" w:val="000000"/>
          <w:lang w:val="sr-RS"/>
        </w:rPr>
        <w:t>Партнери:</w:t>
      </w:r>
      <w:r>
        <w:rPr>
          <w:color w:themeColor="text1" w:val="000000"/>
          <w:lang w:val="sr-RS"/>
        </w:rPr>
        <w:t xml:space="preserve"> Банке; Министарство финансија</w:t>
      </w:r>
    </w:p>
    <w:p>
      <w:pPr>
        <w:pStyle w:val="NormalWeb"/>
        <w:numPr>
          <w:ilvl w:val="0"/>
          <w:numId w:val="46"/>
        </w:numPr>
        <w:spacing w:before="0" w:after="280"/>
        <w:jc w:val="both"/>
        <w:rPr>
          <w:lang w:val="sr-RS"/>
        </w:rPr>
      </w:pPr>
      <w:r>
        <w:rPr>
          <w:rStyle w:val="Strong"/>
          <w:color w:themeColor="text1" w:val="000000"/>
          <w:lang w:val="sr-RS"/>
        </w:rPr>
        <w:t>Рок:</w:t>
      </w:r>
      <w:r>
        <w:rPr>
          <w:color w:themeColor="text1" w:val="000000"/>
          <w:lang w:val="sr-RS"/>
        </w:rPr>
        <w:t xml:space="preserve"> 2026–2027.</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4.3. Подршка женском и породичном предузетништву</w:t>
      </w:r>
    </w:p>
    <w:p>
      <w:pPr>
        <w:pStyle w:val="NormalWeb"/>
        <w:numPr>
          <w:ilvl w:val="0"/>
          <w:numId w:val="47"/>
        </w:numPr>
        <w:spacing w:before="280" w:after="0"/>
        <w:jc w:val="both"/>
        <w:rPr>
          <w:lang w:val="sr-RS"/>
        </w:rPr>
      </w:pPr>
      <w:r>
        <w:rPr>
          <w:rStyle w:val="Strong"/>
          <w:color w:themeColor="text1" w:val="000000"/>
          <w:lang w:val="sr-RS"/>
        </w:rPr>
        <w:t>Опис мере:</w:t>
      </w:r>
      <w:r>
        <w:rPr>
          <w:color w:themeColor="text1" w:val="000000"/>
          <w:lang w:val="sr-RS"/>
        </w:rPr>
        <w:t xml:space="preserve"> Обуке, менторинг, микро-подстицаји, промотивне кампање.</w:t>
      </w:r>
    </w:p>
    <w:p>
      <w:pPr>
        <w:pStyle w:val="NormalWeb"/>
        <w:numPr>
          <w:ilvl w:val="0"/>
          <w:numId w:val="47"/>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ЛАГ „Фрушка гора–Дунав“</w:t>
      </w:r>
    </w:p>
    <w:p>
      <w:pPr>
        <w:pStyle w:val="NormalWeb"/>
        <w:numPr>
          <w:ilvl w:val="0"/>
          <w:numId w:val="47"/>
        </w:numPr>
        <w:spacing w:before="0" w:after="0"/>
        <w:jc w:val="both"/>
        <w:rPr>
          <w:lang w:val="sr-RS"/>
        </w:rPr>
      </w:pPr>
      <w:r>
        <w:rPr>
          <w:rStyle w:val="Strong"/>
          <w:color w:themeColor="text1" w:val="000000"/>
          <w:lang w:val="sr-RS"/>
        </w:rPr>
        <w:t>Партнери:</w:t>
      </w:r>
      <w:r>
        <w:rPr>
          <w:color w:themeColor="text1" w:val="000000"/>
          <w:lang w:val="sr-RS"/>
        </w:rPr>
        <w:t xml:space="preserve"> Привредни субјекти; НСЗ</w:t>
      </w:r>
    </w:p>
    <w:p>
      <w:pPr>
        <w:pStyle w:val="NormalWeb"/>
        <w:numPr>
          <w:ilvl w:val="0"/>
          <w:numId w:val="47"/>
        </w:numPr>
        <w:spacing w:before="0" w:after="280"/>
        <w:jc w:val="both"/>
        <w:rPr>
          <w:lang w:val="sr-RS"/>
        </w:rPr>
      </w:pPr>
      <w:r>
        <w:rPr>
          <w:rStyle w:val="Strong"/>
          <w:color w:themeColor="text1" w:val="000000"/>
          <w:lang w:val="sr-RS"/>
        </w:rPr>
        <w:t>Рок:</w:t>
      </w:r>
      <w:r>
        <w:rPr>
          <w:color w:themeColor="text1" w:val="000000"/>
          <w:lang w:val="sr-RS"/>
        </w:rPr>
        <w:t xml:space="preserve"> Континуирано.</w:t>
      </w:r>
    </w:p>
    <w:p>
      <w:pPr>
        <w:pStyle w:val="Heading2"/>
        <w:spacing w:before="280" w:after="280"/>
        <w:jc w:val="both"/>
        <w:rPr>
          <w:sz w:val="24"/>
          <w:szCs w:val="24"/>
          <w:lang w:val="sr-RS"/>
        </w:rPr>
      </w:pPr>
      <w:r>
        <w:rPr>
          <w:rStyle w:val="Strong"/>
          <w:b/>
          <w:bCs/>
          <w:color w:themeColor="text1" w:val="000000"/>
          <w:sz w:val="24"/>
          <w:szCs w:val="24"/>
          <w:lang w:val="sr-RS"/>
        </w:rPr>
        <w:t>ОБЛАСТ 5: Социјална заштита и брига о осетљивим групама</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5.1. Јачање услуга социјалне подршке</w:t>
      </w:r>
    </w:p>
    <w:p>
      <w:pPr>
        <w:pStyle w:val="NormalWeb"/>
        <w:numPr>
          <w:ilvl w:val="0"/>
          <w:numId w:val="48"/>
        </w:numPr>
        <w:spacing w:before="280" w:after="0"/>
        <w:jc w:val="both"/>
        <w:rPr>
          <w:lang w:val="sr-RS"/>
        </w:rPr>
      </w:pPr>
      <w:r>
        <w:rPr>
          <w:rStyle w:val="Strong"/>
          <w:color w:themeColor="text1" w:val="000000"/>
          <w:lang w:val="sr-RS"/>
        </w:rPr>
        <w:t>Опис мере:</w:t>
      </w:r>
      <w:r>
        <w:rPr>
          <w:color w:themeColor="text1" w:val="000000"/>
          <w:lang w:val="sr-RS"/>
        </w:rPr>
        <w:t xml:space="preserve"> Подршка самохраним родитељима, породицама са троје и више деце, материјално угроженима.</w:t>
      </w:r>
    </w:p>
    <w:p>
      <w:pPr>
        <w:pStyle w:val="NormalWeb"/>
        <w:numPr>
          <w:ilvl w:val="0"/>
          <w:numId w:val="48"/>
        </w:numPr>
        <w:spacing w:before="0" w:after="0"/>
        <w:jc w:val="both"/>
        <w:rPr>
          <w:lang w:val="sr-RS"/>
        </w:rPr>
      </w:pPr>
      <w:r>
        <w:rPr>
          <w:rStyle w:val="Strong"/>
          <w:color w:themeColor="text1" w:val="000000"/>
          <w:lang w:val="sr-RS"/>
        </w:rPr>
        <w:t>Носилац:</w:t>
      </w:r>
      <w:r>
        <w:rPr>
          <w:color w:themeColor="text1" w:val="000000"/>
          <w:lang w:val="sr-RS"/>
        </w:rPr>
        <w:t xml:space="preserve"> Центар за социјални рад</w:t>
      </w:r>
    </w:p>
    <w:p>
      <w:pPr>
        <w:pStyle w:val="NormalWeb"/>
        <w:numPr>
          <w:ilvl w:val="0"/>
          <w:numId w:val="48"/>
        </w:numPr>
        <w:spacing w:before="0" w:after="0"/>
        <w:jc w:val="both"/>
        <w:rPr>
          <w:lang w:val="sr-RS"/>
        </w:rPr>
      </w:pPr>
      <w:r>
        <w:rPr>
          <w:rStyle w:val="Strong"/>
          <w:color w:themeColor="text1" w:val="000000"/>
          <w:lang w:val="sr-RS"/>
        </w:rPr>
        <w:t>Партнери:</w:t>
      </w:r>
      <w:r>
        <w:rPr>
          <w:color w:themeColor="text1" w:val="000000"/>
          <w:lang w:val="sr-RS"/>
        </w:rPr>
        <w:t xml:space="preserve"> Општина; Црвени крст; здравствене установе</w:t>
      </w:r>
    </w:p>
    <w:p>
      <w:pPr>
        <w:pStyle w:val="NormalWeb"/>
        <w:numPr>
          <w:ilvl w:val="0"/>
          <w:numId w:val="48"/>
        </w:numPr>
        <w:spacing w:before="0" w:after="280"/>
        <w:jc w:val="both"/>
        <w:rPr>
          <w:lang w:val="sr-RS"/>
        </w:rPr>
      </w:pPr>
      <w:r>
        <w:rPr>
          <w:rStyle w:val="Strong"/>
          <w:color w:themeColor="text1" w:val="000000"/>
          <w:lang w:val="sr-RS"/>
        </w:rPr>
        <w:t>Рок:</w:t>
      </w:r>
      <w:r>
        <w:rPr>
          <w:color w:themeColor="text1" w:val="000000"/>
          <w:lang w:val="sr-RS"/>
        </w:rPr>
        <w:t xml:space="preserve"> 2026–2028.</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5.2. Подршка старијој популацији</w:t>
      </w:r>
    </w:p>
    <w:p>
      <w:pPr>
        <w:pStyle w:val="NormalWeb"/>
        <w:numPr>
          <w:ilvl w:val="0"/>
          <w:numId w:val="49"/>
        </w:numPr>
        <w:spacing w:before="280" w:after="0"/>
        <w:jc w:val="both"/>
        <w:rPr>
          <w:lang w:val="sr-RS"/>
        </w:rPr>
      </w:pPr>
      <w:r>
        <w:rPr>
          <w:rStyle w:val="Strong"/>
          <w:color w:themeColor="text1" w:val="000000"/>
          <w:lang w:val="sr-RS"/>
        </w:rPr>
        <w:t>Опис мере:</w:t>
      </w:r>
      <w:r>
        <w:rPr>
          <w:color w:themeColor="text1" w:val="000000"/>
          <w:lang w:val="sr-RS"/>
        </w:rPr>
        <w:t xml:space="preserve"> Дневни центар, геронтодомаћице, здравствене услуге на терену.</w:t>
      </w:r>
    </w:p>
    <w:p>
      <w:pPr>
        <w:pStyle w:val="NormalWeb"/>
        <w:numPr>
          <w:ilvl w:val="0"/>
          <w:numId w:val="49"/>
        </w:numPr>
        <w:spacing w:before="0" w:after="0"/>
        <w:jc w:val="both"/>
        <w:rPr>
          <w:lang w:val="sr-RS"/>
        </w:rPr>
      </w:pPr>
      <w:r>
        <w:rPr>
          <w:rStyle w:val="Strong"/>
          <w:color w:themeColor="text1" w:val="000000"/>
          <w:lang w:val="sr-RS"/>
        </w:rPr>
        <w:t>Носилац:</w:t>
      </w:r>
      <w:r>
        <w:rPr>
          <w:color w:themeColor="text1" w:val="000000"/>
          <w:lang w:val="sr-RS"/>
        </w:rPr>
        <w:t xml:space="preserve"> Дом здравља; ЦСР</w:t>
      </w:r>
    </w:p>
    <w:p>
      <w:pPr>
        <w:pStyle w:val="NormalWeb"/>
        <w:numPr>
          <w:ilvl w:val="0"/>
          <w:numId w:val="49"/>
        </w:numPr>
        <w:spacing w:before="0" w:after="0"/>
        <w:jc w:val="both"/>
        <w:rPr>
          <w:lang w:val="sr-RS"/>
        </w:rPr>
      </w:pPr>
      <w:r>
        <w:rPr>
          <w:rStyle w:val="Strong"/>
          <w:color w:themeColor="text1" w:val="000000"/>
          <w:lang w:val="sr-RS"/>
        </w:rPr>
        <w:t>Партнери:</w:t>
      </w:r>
      <w:r>
        <w:rPr>
          <w:color w:themeColor="text1" w:val="000000"/>
          <w:lang w:val="sr-RS"/>
        </w:rPr>
        <w:t xml:space="preserve"> Општина; Покрајински секретаријати</w:t>
      </w:r>
    </w:p>
    <w:p>
      <w:pPr>
        <w:pStyle w:val="NormalWeb"/>
        <w:numPr>
          <w:ilvl w:val="0"/>
          <w:numId w:val="49"/>
        </w:numPr>
        <w:spacing w:before="0" w:after="280"/>
        <w:jc w:val="both"/>
        <w:rPr>
          <w:lang w:val="sr-RS"/>
        </w:rPr>
      </w:pPr>
      <w:r>
        <w:rPr>
          <w:rStyle w:val="Strong"/>
          <w:color w:themeColor="text1" w:val="000000"/>
          <w:lang w:val="sr-RS"/>
        </w:rPr>
        <w:t>Рок:</w:t>
      </w:r>
      <w:r>
        <w:rPr>
          <w:color w:themeColor="text1" w:val="000000"/>
          <w:lang w:val="sr-RS"/>
        </w:rPr>
        <w:t xml:space="preserve"> Континуирано.</w:t>
      </w:r>
    </w:p>
    <w:p>
      <w:pPr>
        <w:pStyle w:val="Heading2"/>
        <w:spacing w:before="280" w:after="280"/>
        <w:jc w:val="both"/>
        <w:rPr>
          <w:sz w:val="24"/>
          <w:szCs w:val="24"/>
          <w:lang w:val="sr-RS"/>
        </w:rPr>
      </w:pPr>
      <w:r>
        <w:rPr>
          <w:rStyle w:val="Strong"/>
          <w:b/>
          <w:bCs/>
          <w:color w:themeColor="text1" w:val="000000"/>
          <w:sz w:val="24"/>
          <w:szCs w:val="24"/>
          <w:lang w:val="sr-RS"/>
        </w:rPr>
        <w:t>ОБЛАСТ 6: Координација система и управљање ЛАП-ом</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6.1. Успостављање међусекторског координационог тела</w:t>
      </w:r>
    </w:p>
    <w:p>
      <w:pPr>
        <w:pStyle w:val="NormalWeb"/>
        <w:numPr>
          <w:ilvl w:val="0"/>
          <w:numId w:val="50"/>
        </w:numPr>
        <w:spacing w:before="280" w:after="0"/>
        <w:jc w:val="both"/>
        <w:rPr>
          <w:lang w:val="sr-RS"/>
        </w:rPr>
      </w:pPr>
      <w:r>
        <w:rPr>
          <w:rStyle w:val="Strong"/>
          <w:color w:themeColor="text1" w:val="000000"/>
          <w:lang w:val="sr-RS"/>
        </w:rPr>
        <w:t>Опис мере:</w:t>
      </w:r>
      <w:r>
        <w:rPr>
          <w:color w:themeColor="text1" w:val="000000"/>
          <w:lang w:val="sr-RS"/>
        </w:rPr>
        <w:t xml:space="preserve"> Координација, праћење, редовно извештавање, корекције мера.</w:t>
      </w:r>
    </w:p>
    <w:p>
      <w:pPr>
        <w:pStyle w:val="NormalWeb"/>
        <w:numPr>
          <w:ilvl w:val="0"/>
          <w:numId w:val="50"/>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Беочин</w:t>
      </w:r>
    </w:p>
    <w:p>
      <w:pPr>
        <w:pStyle w:val="NormalWeb"/>
        <w:numPr>
          <w:ilvl w:val="0"/>
          <w:numId w:val="50"/>
        </w:numPr>
        <w:spacing w:before="0" w:after="0"/>
        <w:jc w:val="both"/>
        <w:rPr>
          <w:lang w:val="sr-RS"/>
        </w:rPr>
      </w:pPr>
      <w:r>
        <w:rPr>
          <w:rStyle w:val="Strong"/>
          <w:color w:themeColor="text1" w:val="000000"/>
          <w:lang w:val="sr-RS"/>
        </w:rPr>
        <w:t>Партнери:</w:t>
      </w:r>
      <w:r>
        <w:rPr>
          <w:color w:themeColor="text1" w:val="000000"/>
          <w:lang w:val="sr-RS"/>
        </w:rPr>
        <w:t xml:space="preserve"> све институције укључене у ЛАП</w:t>
      </w:r>
    </w:p>
    <w:p>
      <w:pPr>
        <w:pStyle w:val="NormalWeb"/>
        <w:numPr>
          <w:ilvl w:val="0"/>
          <w:numId w:val="50"/>
        </w:numPr>
        <w:spacing w:before="0" w:after="280"/>
        <w:jc w:val="both"/>
        <w:rPr>
          <w:lang w:val="sr-RS"/>
        </w:rPr>
      </w:pPr>
      <w:r>
        <w:rPr>
          <w:rStyle w:val="Strong"/>
          <w:color w:themeColor="text1" w:val="000000"/>
          <w:lang w:val="sr-RS"/>
        </w:rPr>
        <w:t>Рок:</w:t>
      </w:r>
      <w:r>
        <w:rPr>
          <w:color w:themeColor="text1" w:val="000000"/>
          <w:lang w:val="sr-RS"/>
        </w:rPr>
        <w:t xml:space="preserve"> Одмах по усвајању ЛАП-а</w:t>
      </w:r>
    </w:p>
    <w:p>
      <w:pPr>
        <w:pStyle w:val="Heading3"/>
        <w:jc w:val="both"/>
        <w:rPr>
          <w:rFonts w:ascii="Times New Roman" w:hAnsi="Times New Roman" w:cs="Times New Roman"/>
          <w:lang w:val="sr-RS"/>
        </w:rPr>
      </w:pPr>
      <w:r>
        <w:rPr>
          <w:rStyle w:val="Strong"/>
          <w:rFonts w:cs="Times New Roman" w:ascii="Times New Roman" w:hAnsi="Times New Roman"/>
          <w:b w:val="false"/>
          <w:bCs w:val="false"/>
          <w:color w:themeColor="text1" w:val="000000"/>
          <w:lang w:val="sr-RS"/>
        </w:rPr>
        <w:t>Мера 6.2. Информисање грађана</w:t>
      </w:r>
    </w:p>
    <w:p>
      <w:pPr>
        <w:pStyle w:val="NormalWeb"/>
        <w:numPr>
          <w:ilvl w:val="0"/>
          <w:numId w:val="51"/>
        </w:numPr>
        <w:spacing w:before="280" w:after="0"/>
        <w:jc w:val="both"/>
        <w:rPr>
          <w:lang w:val="sr-RS"/>
        </w:rPr>
      </w:pPr>
      <w:r>
        <w:rPr>
          <w:rStyle w:val="Strong"/>
          <w:color w:themeColor="text1" w:val="000000"/>
          <w:lang w:val="sr-RS"/>
        </w:rPr>
        <w:t>Опис мере:</w:t>
      </w:r>
      <w:r>
        <w:rPr>
          <w:color w:themeColor="text1" w:val="000000"/>
          <w:lang w:val="sr-RS"/>
        </w:rPr>
        <w:t xml:space="preserve"> Кампање, информатори, јавне презентације, дигитални канали.</w:t>
      </w:r>
    </w:p>
    <w:p>
      <w:pPr>
        <w:pStyle w:val="NormalWeb"/>
        <w:numPr>
          <w:ilvl w:val="0"/>
          <w:numId w:val="51"/>
        </w:numPr>
        <w:spacing w:before="0" w:after="0"/>
        <w:jc w:val="both"/>
        <w:rPr>
          <w:lang w:val="sr-RS"/>
        </w:rPr>
      </w:pPr>
      <w:r>
        <w:rPr>
          <w:rStyle w:val="Strong"/>
          <w:color w:themeColor="text1" w:val="000000"/>
          <w:lang w:val="sr-RS"/>
        </w:rPr>
        <w:t>Носилац:</w:t>
      </w:r>
      <w:r>
        <w:rPr>
          <w:color w:themeColor="text1" w:val="000000"/>
          <w:lang w:val="sr-RS"/>
        </w:rPr>
        <w:t xml:space="preserve"> Општина; ПР служба</w:t>
      </w:r>
    </w:p>
    <w:p>
      <w:pPr>
        <w:pStyle w:val="NormalWeb"/>
        <w:numPr>
          <w:ilvl w:val="0"/>
          <w:numId w:val="51"/>
        </w:numPr>
        <w:spacing w:before="0" w:after="280"/>
        <w:jc w:val="both"/>
        <w:rPr>
          <w:lang w:val="sr-RS"/>
        </w:rPr>
      </w:pPr>
      <w:r>
        <w:rPr>
          <w:rStyle w:val="Strong"/>
          <w:color w:themeColor="text1" w:val="000000"/>
          <w:lang w:val="sr-RS"/>
        </w:rPr>
        <w:t>Рок:</w:t>
      </w:r>
      <w:r>
        <w:rPr>
          <w:color w:themeColor="text1" w:val="000000"/>
          <w:lang w:val="sr-RS"/>
        </w:rPr>
        <w:t xml:space="preserve"> континуирано</w:t>
      </w:r>
    </w:p>
    <w:p>
      <w:pPr>
        <w:pStyle w:val="NormalWeb"/>
        <w:spacing w:before="280" w:after="280"/>
        <w:jc w:val="both"/>
        <w:rPr>
          <w:lang w:val="sr-RS"/>
        </w:rPr>
      </w:pPr>
      <w:r>
        <w:rPr>
          <w:lang w:val="sr-RS"/>
        </w:rPr>
        <w:t>Предложене мере по приоритетним областима представљају интегрисан и реалистичан оперативни оквир за унапређење демографских тенденција у општини Беочин. Све области — рано детињство, образовање, здравство, запошљавање, рурална инфраструктура, институционална подршка и рад са младима — директно одговарају на проблеме идентификоване кроз анализу података општине, институција и грађана. Успостављени сет мера обухвата и краткорочне интервенције које могу брзо унапредити квалитет услуга (нпр. побољшање приступа здравственој заштити, подршка родитељима, јачање капацитета вртића), и дугорочне мере усмерене на стварање стабилног окружења за живот младих породица (нпр. развој руралне инфраструктуре, економски подстицаји, унапређење међусекторске сарадње).</w:t>
      </w:r>
    </w:p>
    <w:p>
      <w:pPr>
        <w:pStyle w:val="Heading1"/>
        <w:numPr>
          <w:ilvl w:val="0"/>
          <w:numId w:val="55"/>
        </w:numPr>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ИМПЛЕМЕНТАЦИЈА ЛОКАЛНОГ АКЦИОНОГ ПЛАНА ЗА ПОПУЛАЦИОНУ ПОЛИТИКУ ОПШТИНЕ БЕОЧИН (2026–2028)</w:t>
      </w:r>
    </w:p>
    <w:p>
      <w:pPr>
        <w:pStyle w:val="NormalWeb"/>
        <w:spacing w:before="280" w:after="280"/>
        <w:jc w:val="both"/>
        <w:rPr>
          <w:lang w:val="sr-RS"/>
        </w:rPr>
      </w:pPr>
      <w:r>
        <w:rPr>
          <w:color w:themeColor="text1" w:val="000000"/>
          <w:lang w:val="sr-RS"/>
        </w:rPr>
        <w:t>Имплементација Локалног акционог плана за популациону политику општине Беочин спроводиће се у три међусобно повезане фазе, које омогућавају структурирану, контролисану и постепену реализацију свих предложених мера. Овако дефинисана динамика омогућава не само ефикасно увођење интервенција, већ и редовно праћење резултата, благовремено идентификовање изазова и прилагођавање мера реалним потребама становништва.</w:t>
      </w:r>
    </w:p>
    <w:p>
      <w:pPr>
        <w:pStyle w:val="Heading1"/>
        <w:numPr>
          <w:ilvl w:val="0"/>
          <w:numId w:val="29"/>
        </w:numPr>
        <w:jc w:val="both"/>
        <w:rPr>
          <w:rFonts w:ascii="Times New Roman" w:hAnsi="Times New Roman" w:cs="Times New Roman"/>
          <w:sz w:val="24"/>
          <w:szCs w:val="24"/>
          <w:lang w:val="sr-RS"/>
        </w:rPr>
      </w:pPr>
      <w:bookmarkStart w:id="13" w:name="_Toc216443352"/>
      <w:r>
        <w:rPr>
          <w:rStyle w:val="Strong"/>
          <w:rFonts w:cs="Times New Roman" w:ascii="Times New Roman" w:hAnsi="Times New Roman"/>
          <w:color w:themeColor="text1" w:val="000000"/>
          <w:sz w:val="24"/>
          <w:szCs w:val="24"/>
          <w:lang w:val="sr-RS"/>
        </w:rPr>
        <w:t>Фаза I – Покретање и институционално позиционирање (2026)</w:t>
      </w:r>
      <w:bookmarkEnd w:id="13"/>
    </w:p>
    <w:p>
      <w:pPr>
        <w:pStyle w:val="NormalWeb"/>
        <w:spacing w:before="280" w:after="280"/>
        <w:jc w:val="both"/>
        <w:rPr>
          <w:lang w:val="sr-RS"/>
        </w:rPr>
      </w:pPr>
      <w:r>
        <w:rPr>
          <w:color w:themeColor="text1" w:val="000000"/>
          <w:lang w:val="sr-RS"/>
        </w:rPr>
        <w:t>Прва фаза фокусира се на успостављање чврстих основа за реализацију ЛАП-а. Током 2026. године биће спроведене активности које омогућавају да све предложене мере функционишу у јасно уређеном институционалном оквиру:</w:t>
      </w:r>
    </w:p>
    <w:p>
      <w:pPr>
        <w:pStyle w:val="NormalWeb"/>
        <w:numPr>
          <w:ilvl w:val="0"/>
          <w:numId w:val="52"/>
        </w:numPr>
        <w:spacing w:before="280" w:after="0"/>
        <w:jc w:val="both"/>
        <w:rPr>
          <w:lang w:val="sr-RS"/>
        </w:rPr>
      </w:pPr>
      <w:r>
        <w:rPr>
          <w:color w:themeColor="text1" w:val="000000"/>
          <w:lang w:val="sr-RS"/>
        </w:rPr>
        <w:t xml:space="preserve">формирање </w:t>
      </w:r>
      <w:r>
        <w:rPr>
          <w:rStyle w:val="Emphasis"/>
          <w:color w:themeColor="text1" w:val="000000"/>
          <w:lang w:val="sr-RS"/>
        </w:rPr>
        <w:t>Међусекторске радне групе</w:t>
      </w:r>
      <w:r>
        <w:rPr>
          <w:color w:themeColor="text1" w:val="000000"/>
          <w:lang w:val="sr-RS"/>
        </w:rPr>
        <w:t xml:space="preserve"> за праћење ЛАП-а;</w:t>
      </w:r>
    </w:p>
    <w:p>
      <w:pPr>
        <w:pStyle w:val="NormalWeb"/>
        <w:numPr>
          <w:ilvl w:val="0"/>
          <w:numId w:val="52"/>
        </w:numPr>
        <w:spacing w:before="0" w:after="0"/>
        <w:jc w:val="both"/>
        <w:rPr>
          <w:lang w:val="sr-RS"/>
        </w:rPr>
      </w:pPr>
      <w:r>
        <w:rPr>
          <w:color w:themeColor="text1" w:val="000000"/>
          <w:lang w:val="sr-RS"/>
        </w:rPr>
        <w:t>дефинисање процедура, надлежности и међусобне координације институција;</w:t>
      </w:r>
    </w:p>
    <w:p>
      <w:pPr>
        <w:pStyle w:val="NormalWeb"/>
        <w:numPr>
          <w:ilvl w:val="0"/>
          <w:numId w:val="52"/>
        </w:numPr>
        <w:spacing w:before="0" w:after="0"/>
        <w:jc w:val="both"/>
        <w:rPr>
          <w:lang w:val="sr-RS"/>
        </w:rPr>
      </w:pPr>
      <w:r>
        <w:rPr>
          <w:color w:themeColor="text1" w:val="000000"/>
          <w:lang w:val="sr-RS"/>
        </w:rPr>
        <w:t>успостављање система за прикупљање и обраду података неопходних за редовни мониторинг;</w:t>
      </w:r>
    </w:p>
    <w:p>
      <w:pPr>
        <w:pStyle w:val="NormalWeb"/>
        <w:numPr>
          <w:ilvl w:val="0"/>
          <w:numId w:val="52"/>
        </w:numPr>
        <w:spacing w:before="0" w:after="0"/>
        <w:jc w:val="both"/>
        <w:rPr>
          <w:lang w:val="sr-RS"/>
        </w:rPr>
      </w:pPr>
      <w:r>
        <w:rPr>
          <w:color w:themeColor="text1" w:val="000000"/>
          <w:lang w:val="sr-RS"/>
        </w:rPr>
        <w:t>спровођење обука за стручне службе које ће непосредно радити на примени мера (вртићи, школе, Центар за социјални рад, Дом здравља, општинске службе);</w:t>
      </w:r>
    </w:p>
    <w:p>
      <w:pPr>
        <w:pStyle w:val="NormalWeb"/>
        <w:numPr>
          <w:ilvl w:val="0"/>
          <w:numId w:val="52"/>
        </w:numPr>
        <w:spacing w:before="0" w:after="0"/>
        <w:jc w:val="both"/>
        <w:rPr>
          <w:lang w:val="sr-RS"/>
        </w:rPr>
      </w:pPr>
      <w:r>
        <w:rPr>
          <w:color w:themeColor="text1" w:val="000000"/>
          <w:lang w:val="sr-RS"/>
        </w:rPr>
        <w:t>покретање првих пилот-интервенција у најпотребнијим областима – нпр. подршка родитељима, унапређење приступа вртићима, јачање информисања грађана;</w:t>
      </w:r>
    </w:p>
    <w:p>
      <w:pPr>
        <w:pStyle w:val="NormalWeb"/>
        <w:numPr>
          <w:ilvl w:val="0"/>
          <w:numId w:val="52"/>
        </w:numPr>
        <w:spacing w:before="0" w:after="280"/>
        <w:jc w:val="both"/>
        <w:rPr>
          <w:lang w:val="sr-RS"/>
        </w:rPr>
      </w:pPr>
      <w:r>
        <w:rPr>
          <w:color w:themeColor="text1" w:val="000000"/>
          <w:lang w:val="sr-RS"/>
        </w:rPr>
        <w:t>развој комуникационог плана и успостављање механизама за транспарентно извештавање јавности.</w:t>
      </w:r>
    </w:p>
    <w:p>
      <w:pPr>
        <w:pStyle w:val="NormalWeb"/>
        <w:spacing w:before="280" w:after="280"/>
        <w:jc w:val="both"/>
        <w:rPr>
          <w:lang w:val="sr-RS"/>
        </w:rPr>
      </w:pPr>
      <w:r>
        <w:rPr>
          <w:color w:themeColor="text1" w:val="000000"/>
          <w:lang w:val="sr-RS"/>
        </w:rPr>
        <w:t>У овој фази посебно је важно обезбедити разумевање, прихватање и активну укљученост кључних институција и грађана, јер од тога зависи успешност наредних фаза.</w:t>
      </w:r>
    </w:p>
    <w:p>
      <w:pPr>
        <w:pStyle w:val="Heading1"/>
        <w:numPr>
          <w:ilvl w:val="0"/>
          <w:numId w:val="29"/>
        </w:numPr>
        <w:jc w:val="both"/>
        <w:rPr>
          <w:rFonts w:ascii="Times New Roman" w:hAnsi="Times New Roman" w:cs="Times New Roman"/>
          <w:sz w:val="24"/>
          <w:szCs w:val="24"/>
          <w:lang w:val="sr-RS"/>
        </w:rPr>
      </w:pPr>
      <w:bookmarkStart w:id="14" w:name="_Toc216443353"/>
      <w:r>
        <w:rPr>
          <w:rStyle w:val="Strong"/>
          <w:rFonts w:cs="Times New Roman" w:ascii="Times New Roman" w:hAnsi="Times New Roman"/>
          <w:color w:themeColor="text1" w:val="000000"/>
          <w:sz w:val="24"/>
          <w:szCs w:val="24"/>
          <w:lang w:val="sr-RS"/>
        </w:rPr>
        <w:t>Фаза II – Пуна имплементација мера (2026–2027)</w:t>
      </w:r>
      <w:bookmarkEnd w:id="14"/>
    </w:p>
    <w:p>
      <w:pPr>
        <w:pStyle w:val="NormalWeb"/>
        <w:spacing w:before="280" w:after="280"/>
        <w:jc w:val="both"/>
        <w:rPr>
          <w:lang w:val="sr-RS"/>
        </w:rPr>
      </w:pPr>
      <w:r>
        <w:rPr>
          <w:color w:themeColor="text1" w:val="000000"/>
          <w:lang w:val="sr-RS"/>
        </w:rPr>
        <w:t>Друга фаза представља централни део спровођења ЛАП-а. У овом периоду све планиране мере почињу да се примењују у пуном обиму:</w:t>
      </w:r>
    </w:p>
    <w:p>
      <w:pPr>
        <w:pStyle w:val="NormalWeb"/>
        <w:numPr>
          <w:ilvl w:val="0"/>
          <w:numId w:val="53"/>
        </w:numPr>
        <w:spacing w:before="280" w:after="0"/>
        <w:jc w:val="both"/>
        <w:rPr>
          <w:lang w:val="sr-RS"/>
        </w:rPr>
      </w:pPr>
      <w:r>
        <w:rPr>
          <w:color w:themeColor="text1" w:val="000000"/>
          <w:lang w:val="sr-RS"/>
        </w:rPr>
        <w:t>реализација свих планираних мера у области подршке породицама, здравствене заштите, образовања, инфраструктуре и развоја руралних средина;</w:t>
      </w:r>
    </w:p>
    <w:p>
      <w:pPr>
        <w:pStyle w:val="NormalWeb"/>
        <w:numPr>
          <w:ilvl w:val="0"/>
          <w:numId w:val="53"/>
        </w:numPr>
        <w:spacing w:before="0" w:after="0"/>
        <w:jc w:val="both"/>
        <w:rPr>
          <w:lang w:val="sr-RS"/>
        </w:rPr>
      </w:pPr>
      <w:r>
        <w:rPr>
          <w:color w:themeColor="text1" w:val="000000"/>
          <w:lang w:val="sr-RS"/>
        </w:rPr>
        <w:t>проширење активности на све делове општине, укључујући рурална и мање заступљена насеља;</w:t>
      </w:r>
    </w:p>
    <w:p>
      <w:pPr>
        <w:pStyle w:val="NormalWeb"/>
        <w:numPr>
          <w:ilvl w:val="0"/>
          <w:numId w:val="53"/>
        </w:numPr>
        <w:spacing w:before="0" w:after="0"/>
        <w:jc w:val="both"/>
        <w:rPr>
          <w:lang w:val="sr-RS"/>
        </w:rPr>
      </w:pPr>
      <w:r>
        <w:rPr>
          <w:color w:themeColor="text1" w:val="000000"/>
          <w:lang w:val="sr-RS"/>
        </w:rPr>
        <w:t>континуиране активности едукације и подршке институцијама које су носиоци мера;</w:t>
      </w:r>
    </w:p>
    <w:p>
      <w:pPr>
        <w:pStyle w:val="NormalWeb"/>
        <w:numPr>
          <w:ilvl w:val="0"/>
          <w:numId w:val="53"/>
        </w:numPr>
        <w:spacing w:before="0" w:after="0"/>
        <w:jc w:val="both"/>
        <w:rPr>
          <w:lang w:val="sr-RS"/>
        </w:rPr>
      </w:pPr>
      <w:r>
        <w:rPr>
          <w:color w:themeColor="text1" w:val="000000"/>
          <w:lang w:val="sr-RS"/>
        </w:rPr>
        <w:t>редовно праћење резултата, праћење индикатора и извештавање општинских структура;</w:t>
      </w:r>
    </w:p>
    <w:p>
      <w:pPr>
        <w:pStyle w:val="NormalWeb"/>
        <w:numPr>
          <w:ilvl w:val="0"/>
          <w:numId w:val="53"/>
        </w:numPr>
        <w:spacing w:before="0" w:after="0"/>
        <w:jc w:val="both"/>
        <w:rPr>
          <w:lang w:val="sr-RS"/>
        </w:rPr>
      </w:pPr>
      <w:r>
        <w:rPr>
          <w:color w:themeColor="text1" w:val="000000"/>
          <w:lang w:val="sr-RS"/>
        </w:rPr>
        <w:t>оперативна прилагођавања мера у складу са потребама на терену и уоченим изазовима;</w:t>
      </w:r>
    </w:p>
    <w:p>
      <w:pPr>
        <w:pStyle w:val="NormalWeb"/>
        <w:numPr>
          <w:ilvl w:val="0"/>
          <w:numId w:val="53"/>
        </w:numPr>
        <w:spacing w:before="0" w:after="280"/>
        <w:jc w:val="both"/>
        <w:rPr>
          <w:lang w:val="sr-RS"/>
        </w:rPr>
      </w:pPr>
      <w:r>
        <w:rPr>
          <w:color w:themeColor="text1" w:val="000000"/>
          <w:lang w:val="sr-RS"/>
        </w:rPr>
        <w:t>јачање сарадње између образовних, здравствених и социјалних служби како би подршка породицама била интегрисана.</w:t>
      </w:r>
    </w:p>
    <w:p>
      <w:pPr>
        <w:pStyle w:val="NormalWeb"/>
        <w:spacing w:before="280" w:after="280"/>
        <w:jc w:val="both"/>
        <w:rPr>
          <w:lang w:val="sr-RS"/>
        </w:rPr>
      </w:pPr>
      <w:r>
        <w:rPr>
          <w:color w:themeColor="text1" w:val="000000"/>
          <w:lang w:val="sr-RS"/>
        </w:rPr>
        <w:t>Крајем ове фазе очекују се видљиви први резултати који ће послужити као основ за финално вредновање.</w:t>
      </w:r>
    </w:p>
    <w:p>
      <w:pPr>
        <w:pStyle w:val="Heading1"/>
        <w:numPr>
          <w:ilvl w:val="0"/>
          <w:numId w:val="29"/>
        </w:numPr>
        <w:jc w:val="both"/>
        <w:rPr>
          <w:rFonts w:ascii="Times New Roman" w:hAnsi="Times New Roman" w:cs="Times New Roman"/>
          <w:sz w:val="24"/>
          <w:szCs w:val="24"/>
          <w:lang w:val="sr-RS"/>
        </w:rPr>
      </w:pPr>
      <w:bookmarkStart w:id="15" w:name="_Toc216443354"/>
      <w:r>
        <w:rPr>
          <w:rStyle w:val="Strong"/>
          <w:rFonts w:cs="Times New Roman" w:ascii="Times New Roman" w:hAnsi="Times New Roman"/>
          <w:color w:themeColor="text1" w:val="000000"/>
          <w:sz w:val="24"/>
          <w:szCs w:val="24"/>
          <w:lang w:val="sr-RS"/>
        </w:rPr>
        <w:t>Фаза III – Евалуација, ревизија мера и планирање следећег циклуса (2028)</w:t>
      </w:r>
      <w:bookmarkEnd w:id="15"/>
    </w:p>
    <w:p>
      <w:pPr>
        <w:pStyle w:val="NormalWeb"/>
        <w:spacing w:before="280" w:after="280"/>
        <w:jc w:val="both"/>
        <w:rPr>
          <w:lang w:val="sr-RS"/>
        </w:rPr>
      </w:pPr>
      <w:r>
        <w:rPr>
          <w:color w:themeColor="text1" w:val="000000"/>
          <w:lang w:val="sr-RS"/>
        </w:rPr>
        <w:t>Завршна фаза посвећена је свеобухватној процени ефеката ЛАП-а и планирању даљег развоја популационе политике:</w:t>
      </w:r>
    </w:p>
    <w:p>
      <w:pPr>
        <w:pStyle w:val="NormalWeb"/>
        <w:numPr>
          <w:ilvl w:val="0"/>
          <w:numId w:val="54"/>
        </w:numPr>
        <w:spacing w:before="280" w:after="0"/>
        <w:jc w:val="both"/>
        <w:rPr>
          <w:lang w:val="sr-RS"/>
        </w:rPr>
      </w:pPr>
      <w:r>
        <w:rPr>
          <w:color w:themeColor="text1" w:val="000000"/>
          <w:lang w:val="sr-RS"/>
        </w:rPr>
        <w:t>свеобухватна евалуација спроведених мера, на основу индикатора и прикупљених података;</w:t>
      </w:r>
    </w:p>
    <w:p>
      <w:pPr>
        <w:pStyle w:val="NormalWeb"/>
        <w:numPr>
          <w:ilvl w:val="0"/>
          <w:numId w:val="54"/>
        </w:numPr>
        <w:spacing w:before="0" w:after="0"/>
        <w:jc w:val="both"/>
        <w:rPr>
          <w:lang w:val="sr-RS"/>
        </w:rPr>
      </w:pPr>
      <w:r>
        <w:rPr>
          <w:color w:themeColor="text1" w:val="000000"/>
          <w:lang w:val="sr-RS"/>
        </w:rPr>
        <w:t>израда извештаја о успесима, изазовима и препорукама за унапређење;</w:t>
      </w:r>
    </w:p>
    <w:p>
      <w:pPr>
        <w:pStyle w:val="NormalWeb"/>
        <w:numPr>
          <w:ilvl w:val="0"/>
          <w:numId w:val="54"/>
        </w:numPr>
        <w:spacing w:before="0" w:after="0"/>
        <w:jc w:val="both"/>
        <w:rPr>
          <w:lang w:val="sr-RS"/>
        </w:rPr>
      </w:pPr>
      <w:r>
        <w:rPr>
          <w:color w:themeColor="text1" w:val="000000"/>
          <w:lang w:val="sr-RS"/>
        </w:rPr>
        <w:t>ревизија мера које нису дале очекиване резултате;</w:t>
      </w:r>
    </w:p>
    <w:p>
      <w:pPr>
        <w:pStyle w:val="NormalWeb"/>
        <w:numPr>
          <w:ilvl w:val="0"/>
          <w:numId w:val="54"/>
        </w:numPr>
        <w:spacing w:before="0" w:after="0"/>
        <w:jc w:val="both"/>
        <w:rPr>
          <w:lang w:val="sr-RS"/>
        </w:rPr>
      </w:pPr>
      <w:r>
        <w:rPr>
          <w:color w:themeColor="text1" w:val="000000"/>
          <w:lang w:val="sr-RS"/>
        </w:rPr>
        <w:t>идентификација најуспешнијих интервенција које могу бити настављене или проширене;</w:t>
      </w:r>
    </w:p>
    <w:p>
      <w:pPr>
        <w:pStyle w:val="NormalWeb"/>
        <w:numPr>
          <w:ilvl w:val="0"/>
          <w:numId w:val="54"/>
        </w:numPr>
        <w:spacing w:before="0" w:after="0"/>
        <w:jc w:val="both"/>
        <w:rPr>
          <w:lang w:val="sr-RS"/>
        </w:rPr>
      </w:pPr>
      <w:r>
        <w:rPr>
          <w:color w:themeColor="text1" w:val="000000"/>
          <w:lang w:val="sr-RS"/>
        </w:rPr>
        <w:t>припрема за развој наредног ЛАП-а након 2028. године;</w:t>
      </w:r>
    </w:p>
    <w:p>
      <w:pPr>
        <w:pStyle w:val="NormalWeb"/>
        <w:numPr>
          <w:ilvl w:val="0"/>
          <w:numId w:val="54"/>
        </w:numPr>
        <w:spacing w:before="0" w:after="280"/>
        <w:jc w:val="both"/>
        <w:rPr>
          <w:lang w:val="sr-RS"/>
        </w:rPr>
      </w:pPr>
      <w:r>
        <w:rPr>
          <w:color w:themeColor="text1" w:val="000000"/>
          <w:lang w:val="sr-RS"/>
        </w:rPr>
        <w:t>разматрање могућности за додатно умрежавање са државним институцијама, као и коришћење националних и међународних програма подршке за проширење мера.</w:t>
      </w:r>
    </w:p>
    <w:p>
      <w:pPr>
        <w:pStyle w:val="NormalWeb"/>
        <w:spacing w:before="280" w:after="280"/>
        <w:jc w:val="both"/>
        <w:rPr>
          <w:lang w:val="sr-RS"/>
        </w:rPr>
      </w:pPr>
      <w:r>
        <w:rPr>
          <w:color w:themeColor="text1" w:val="000000"/>
          <w:lang w:val="sr-RS"/>
        </w:rPr>
        <w:t>Ова фаза обезбеђује да ЛАП не буде једнократни документ, већ да представља сталан механизам развоја демографске политике на локалном нивоу.</w:t>
      </w:r>
    </w:p>
    <w:p>
      <w:pPr>
        <w:pStyle w:val="NormalWeb"/>
        <w:spacing w:before="280" w:after="280"/>
        <w:jc w:val="both"/>
        <w:rPr>
          <w:color w:themeColor="text1" w:val="000000"/>
          <w:lang w:val="sr-RS"/>
        </w:rPr>
      </w:pPr>
      <w:r>
        <w:rPr>
          <w:color w:themeColor="text1" w:val="000000"/>
          <w:lang w:val="sr-RS"/>
        </w:rPr>
      </w:r>
    </w:p>
    <w:p>
      <w:pPr>
        <w:pStyle w:val="Heading1"/>
        <w:numPr>
          <w:ilvl w:val="0"/>
          <w:numId w:val="55"/>
        </w:numPr>
        <w:jc w:val="both"/>
        <w:rPr>
          <w:rFonts w:ascii="Times New Roman" w:hAnsi="Times New Roman" w:cs="Times New Roman"/>
          <w:sz w:val="24"/>
          <w:szCs w:val="24"/>
          <w:lang w:val="sr-RS"/>
        </w:rPr>
      </w:pPr>
      <w:bookmarkStart w:id="16" w:name="_Toc216443355"/>
      <w:r>
        <w:rPr>
          <w:rStyle w:val="Strong"/>
          <w:rFonts w:cs="Times New Roman" w:ascii="Times New Roman" w:hAnsi="Times New Roman"/>
          <w:color w:themeColor="text1" w:val="000000"/>
          <w:sz w:val="24"/>
          <w:szCs w:val="24"/>
          <w:lang w:val="sr-RS"/>
        </w:rPr>
        <w:t>СИСТЕМ МОНИТОРИНГА И ОЦЕНЕ УСПЕШНОСТИ СПРОВОЂЕЊА ЛАП-а</w:t>
      </w:r>
      <w:bookmarkEnd w:id="16"/>
    </w:p>
    <w:p>
      <w:pPr>
        <w:pStyle w:val="NormalWeb"/>
        <w:spacing w:before="280" w:after="280"/>
        <w:jc w:val="both"/>
        <w:rPr>
          <w:lang w:val="sr-RS"/>
        </w:rPr>
      </w:pPr>
      <w:r>
        <w:rPr>
          <w:color w:themeColor="text1" w:val="000000"/>
          <w:lang w:val="sr-RS"/>
        </w:rPr>
        <w:t>Ефикасна примена Локалног акционог плана за популациону политику општине Беочин (2026–2028) подразумева успостављање јасног и функционалног система мониторинга који ће омогућити праћење напретка, благовремено уочавање изазова и предузимање корективних мера. Мониторинг служи као основ за транспарентност, одговорност и доношење заснованих одлука током трогодишње имплементације ЛАП-а.</w:t>
      </w:r>
    </w:p>
    <w:p>
      <w:pPr>
        <w:pStyle w:val="NormalWeb"/>
        <w:spacing w:before="280" w:after="280"/>
        <w:jc w:val="both"/>
        <w:rPr>
          <w:lang w:val="sr-RS"/>
        </w:rPr>
      </w:pPr>
      <w:r>
        <w:rPr>
          <w:color w:themeColor="text1" w:val="000000"/>
          <w:lang w:val="sr-RS"/>
        </w:rPr>
        <w:t>Систем праћења заснива се на редовном извештавању свих институција и актера укључених у реализацију мера, примени дефинисаних индикатора, као и годишњој анализи остварених резултата. Циљ је да се јасно утврди да ли активности дају очекивани ефекат на демографске токове, квалитет услуга и подршку породицама.</w:t>
      </w:r>
    </w:p>
    <w:p>
      <w:pPr>
        <w:pStyle w:val="Heading2"/>
        <w:spacing w:before="280" w:after="280"/>
        <w:jc w:val="both"/>
        <w:rPr>
          <w:sz w:val="24"/>
          <w:szCs w:val="24"/>
          <w:lang w:val="sr-RS"/>
        </w:rPr>
      </w:pPr>
      <w:r>
        <w:rPr>
          <w:rStyle w:val="Strong"/>
          <w:b/>
          <w:bCs/>
          <w:color w:themeColor="text1" w:val="000000"/>
          <w:sz w:val="24"/>
          <w:szCs w:val="24"/>
          <w:lang w:val="sr-RS"/>
        </w:rPr>
        <w:t>12.1. НОСИОЦИ И МЕХАНИЗМИ МОНИТОРИНГА</w:t>
      </w:r>
    </w:p>
    <w:p>
      <w:pPr>
        <w:pStyle w:val="Heading3"/>
        <w:numPr>
          <w:ilvl w:val="0"/>
          <w:numId w:val="29"/>
        </w:numPr>
        <w:jc w:val="both"/>
        <w:rPr>
          <w:rFonts w:ascii="Times New Roman" w:hAnsi="Times New Roman" w:cs="Times New Roman"/>
          <w:lang w:val="sr-RS"/>
        </w:rPr>
      </w:pPr>
      <w:bookmarkStart w:id="17" w:name="_Toc216443357"/>
      <w:r>
        <w:rPr>
          <w:rStyle w:val="Strong"/>
          <w:rFonts w:cs="Times New Roman" w:ascii="Times New Roman" w:hAnsi="Times New Roman"/>
          <w:color w:themeColor="text1" w:val="000000"/>
          <w:lang w:val="sr-RS"/>
        </w:rPr>
        <w:t>Координационо тело / Савет за популациону политику општине Беочин</w:t>
      </w:r>
      <w:bookmarkEnd w:id="17"/>
    </w:p>
    <w:p>
      <w:pPr>
        <w:pStyle w:val="NormalWeb"/>
        <w:spacing w:before="280" w:after="280"/>
        <w:jc w:val="left"/>
        <w:rPr>
          <w:lang w:val="sr-RS"/>
        </w:rPr>
      </w:pPr>
      <w:r>
        <w:rPr>
          <w:color w:themeColor="text1" w:val="000000"/>
          <w:lang w:val="sr-RS"/>
        </w:rPr>
        <w:t xml:space="preserve">• </w:t>
      </w:r>
      <w:r>
        <w:rPr>
          <w:color w:themeColor="text1" w:val="000000"/>
          <w:lang w:val="sr-RS"/>
        </w:rPr>
        <w:t>Главни носилац процеса мониторинга.</w:t>
        <w:br/>
        <w:t>• Састаје се најмање једном у три месеца.</w:t>
        <w:br/>
        <w:t>• Прикупља податке од свих установа и организација укључених у мере.</w:t>
        <w:br/>
        <w:t>• Води евиденције, анализира индикаторе и припрема извештаје.</w:t>
      </w:r>
    </w:p>
    <w:p>
      <w:pPr>
        <w:pStyle w:val="Heading3"/>
        <w:numPr>
          <w:ilvl w:val="0"/>
          <w:numId w:val="29"/>
        </w:numPr>
        <w:jc w:val="both"/>
        <w:rPr>
          <w:rFonts w:ascii="Times New Roman" w:hAnsi="Times New Roman" w:cs="Times New Roman"/>
          <w:lang w:val="sr-RS"/>
        </w:rPr>
      </w:pPr>
      <w:bookmarkStart w:id="18" w:name="_Toc216443358"/>
      <w:r>
        <w:rPr>
          <w:rStyle w:val="Strong"/>
          <w:rFonts w:cs="Times New Roman" w:ascii="Times New Roman" w:hAnsi="Times New Roman"/>
          <w:color w:themeColor="text1" w:val="000000"/>
          <w:lang w:val="sr-RS"/>
        </w:rPr>
        <w:t>Општинска управа Беочин</w:t>
      </w:r>
      <w:bookmarkEnd w:id="18"/>
    </w:p>
    <w:p>
      <w:pPr>
        <w:pStyle w:val="NormalWeb"/>
        <w:spacing w:before="280" w:after="280"/>
        <w:jc w:val="left"/>
        <w:rPr>
          <w:lang w:val="sr-RS"/>
        </w:rPr>
      </w:pPr>
      <w:r>
        <w:rPr>
          <w:color w:themeColor="text1" w:val="000000"/>
          <w:lang w:val="sr-RS"/>
        </w:rPr>
        <w:t xml:space="preserve">• </w:t>
      </w:r>
      <w:r>
        <w:rPr>
          <w:color w:themeColor="text1" w:val="000000"/>
          <w:lang w:val="sr-RS"/>
        </w:rPr>
        <w:t>Техничка и административна подршка раду Савета.</w:t>
        <w:br/>
        <w:t xml:space="preserve">• Прикупља статистичке податке (матичне </w:t>
      </w:r>
      <w:r>
        <w:rPr>
          <w:color w:themeColor="text1" w:val="000000"/>
          <w:lang w:val="sr-RS"/>
        </w:rPr>
        <w:t>књиге, Одељење финансија, кадровска евиденција</w:t>
      </w:r>
      <w:r>
        <w:rPr>
          <w:color w:themeColor="text1" w:val="000000"/>
          <w:lang w:val="sr-RS"/>
        </w:rPr>
        <w:t>).</w:t>
        <w:br/>
        <w:t>• Координација са месним заједницама.</w:t>
      </w:r>
    </w:p>
    <w:p>
      <w:pPr>
        <w:pStyle w:val="Heading3"/>
        <w:numPr>
          <w:ilvl w:val="0"/>
          <w:numId w:val="29"/>
        </w:numPr>
        <w:jc w:val="both"/>
        <w:rPr>
          <w:rFonts w:ascii="Times New Roman" w:hAnsi="Times New Roman" w:cs="Times New Roman"/>
          <w:lang w:val="sr-RS"/>
        </w:rPr>
      </w:pPr>
      <w:bookmarkStart w:id="19" w:name="_Toc216443359"/>
      <w:r>
        <w:rPr>
          <w:rStyle w:val="Strong"/>
          <w:rFonts w:cs="Times New Roman" w:ascii="Times New Roman" w:hAnsi="Times New Roman"/>
          <w:color w:themeColor="text1" w:val="000000"/>
          <w:lang w:val="sr-RS"/>
        </w:rPr>
        <w:t>Локалне институције (ПУ, школе, Дом здравља, ЦСР, ТО Беочин и др.)</w:t>
      </w:r>
      <w:bookmarkEnd w:id="19"/>
    </w:p>
    <w:p>
      <w:pPr>
        <w:pStyle w:val="NormalWeb"/>
        <w:spacing w:before="280" w:after="280"/>
        <w:jc w:val="left"/>
        <w:rPr>
          <w:lang w:val="sr-RS"/>
        </w:rPr>
      </w:pPr>
      <w:r>
        <w:rPr>
          <w:color w:themeColor="text1" w:val="000000"/>
          <w:lang w:val="sr-RS"/>
        </w:rPr>
        <w:t xml:space="preserve">• </w:t>
      </w:r>
      <w:r>
        <w:rPr>
          <w:color w:themeColor="text1" w:val="000000"/>
          <w:lang w:val="sr-RS"/>
        </w:rPr>
        <w:t>Достављају оперативне податке у складу са својим надлежностима.</w:t>
        <w:br/>
        <w:t>• Учествују у анализи имплементације мера и предлажу корекције.</w:t>
      </w:r>
    </w:p>
    <w:p>
      <w:pPr>
        <w:pStyle w:val="Heading3"/>
        <w:numPr>
          <w:ilvl w:val="0"/>
          <w:numId w:val="29"/>
        </w:numPr>
        <w:jc w:val="both"/>
        <w:rPr>
          <w:rFonts w:ascii="Times New Roman" w:hAnsi="Times New Roman" w:cs="Times New Roman"/>
          <w:lang w:val="sr-RS"/>
        </w:rPr>
      </w:pPr>
      <w:bookmarkStart w:id="20" w:name="_Toc216443360"/>
      <w:r>
        <w:rPr>
          <w:rStyle w:val="Strong"/>
          <w:rFonts w:cs="Times New Roman" w:ascii="Times New Roman" w:hAnsi="Times New Roman"/>
          <w:color w:themeColor="text1" w:val="000000"/>
          <w:lang w:val="sr-RS"/>
        </w:rPr>
        <w:t>Годишњи извештај о спровођењу ЛАП-а</w:t>
      </w:r>
      <w:bookmarkEnd w:id="20"/>
    </w:p>
    <w:p>
      <w:pPr>
        <w:pStyle w:val="NormalWeb"/>
        <w:spacing w:before="280" w:after="280"/>
        <w:jc w:val="left"/>
        <w:rPr>
          <w:lang w:val="sr-RS"/>
        </w:rPr>
      </w:pPr>
      <w:r>
        <w:rPr>
          <w:color w:themeColor="text1" w:val="000000"/>
          <w:lang w:val="sr-RS"/>
        </w:rPr>
        <w:t xml:space="preserve">• </w:t>
      </w:r>
      <w:r>
        <w:rPr>
          <w:color w:themeColor="text1" w:val="000000"/>
          <w:lang w:val="sr-RS"/>
        </w:rPr>
        <w:t>Подноси се Скупштини општине.</w:t>
        <w:br/>
        <w:t>• Обухвата анализу индикатора, финансијски аспект, кључне резултате, изазове и препоруке.</w:t>
      </w:r>
    </w:p>
    <w:p>
      <w:pPr>
        <w:pStyle w:val="Heading1"/>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12.2. ИНДИКАТОРИ УСПЕШНОСТИ</w:t>
      </w:r>
    </w:p>
    <w:p>
      <w:pPr>
        <w:pStyle w:val="NormalWeb"/>
        <w:spacing w:before="280" w:after="280"/>
        <w:jc w:val="both"/>
        <w:rPr>
          <w:lang w:val="sr-RS"/>
        </w:rPr>
      </w:pPr>
      <w:r>
        <w:rPr>
          <w:color w:themeColor="text1" w:val="000000"/>
          <w:lang w:val="sr-RS"/>
        </w:rPr>
        <w:t xml:space="preserve">Индикатори су дефинисани тако да омогуће мерење остварености оперативних циљева. Обухватају </w:t>
      </w:r>
      <w:r>
        <w:rPr>
          <w:rStyle w:val="Emphasis"/>
          <w:color w:themeColor="text1" w:val="000000"/>
          <w:lang w:val="sr-RS"/>
        </w:rPr>
        <w:t>квантитативне</w:t>
      </w:r>
      <w:r>
        <w:rPr>
          <w:color w:themeColor="text1" w:val="000000"/>
          <w:lang w:val="sr-RS"/>
        </w:rPr>
        <w:t xml:space="preserve"> (нумеричке) и </w:t>
      </w:r>
      <w:r>
        <w:rPr>
          <w:rStyle w:val="Emphasis"/>
          <w:color w:themeColor="text1" w:val="000000"/>
          <w:lang w:val="sr-RS"/>
        </w:rPr>
        <w:t>квалитативне</w:t>
      </w:r>
      <w:r>
        <w:rPr>
          <w:color w:themeColor="text1" w:val="000000"/>
          <w:lang w:val="sr-RS"/>
        </w:rPr>
        <w:t xml:space="preserve"> (описне) показатеље.</w:t>
      </w:r>
    </w:p>
    <w:p>
      <w:pPr>
        <w:pStyle w:val="Heading2"/>
        <w:spacing w:before="280" w:after="280"/>
        <w:jc w:val="both"/>
        <w:rPr>
          <w:sz w:val="24"/>
          <w:szCs w:val="24"/>
          <w:lang w:val="sr-RS"/>
        </w:rPr>
      </w:pPr>
      <w:r>
        <w:rPr>
          <w:rStyle w:val="Strong"/>
          <w:b/>
          <w:color w:themeColor="text1" w:val="000000"/>
          <w:sz w:val="24"/>
          <w:szCs w:val="24"/>
          <w:lang w:val="sr-RS"/>
        </w:rPr>
        <w:t>Табела 9: Преглед индикатора мониторинга</w:t>
      </w:r>
    </w:p>
    <w:tbl>
      <w:tblPr>
        <w:tblStyle w:val="GridTable4-Accent1"/>
        <w:tblW w:w="901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95"/>
        <w:gridCol w:w="2877"/>
        <w:gridCol w:w="1548"/>
        <w:gridCol w:w="1320"/>
        <w:gridCol w:w="1476"/>
      </w:tblGrid>
      <w:tr>
        <w:trPr>
          <w:cnfStyle w:val="100000000000" w:firstRow="1" w:lastRow="0" w:firstColumn="0" w:lastColumn="0" w:oddVBand="0" w:evenVBand="0" w:oddHBand="0"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rPr>
                <w:color w:themeColor="background1" w:val="FFFFFF"/>
                <w:lang w:val="sr-RS"/>
              </w:rPr>
            </w:pPr>
            <w:r>
              <w:rPr>
                <w:rStyle w:val="Strong"/>
                <w:b/>
                <w:bCs/>
                <w:color w:themeColor="text1" w:val="000000"/>
                <w:sz w:val="24"/>
                <w:szCs w:val="24"/>
                <w:lang w:val="sr-RS" w:bidi="ar-SA"/>
              </w:rPr>
              <w:t>Област / Мера</w:t>
            </w:r>
          </w:p>
        </w:tc>
        <w:tc>
          <w:tcPr>
            <w:tcW w:w="2877"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Индикатор</w:t>
            </w:r>
          </w:p>
        </w:tc>
        <w:tc>
          <w:tcPr>
            <w:tcW w:w="1548"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Тип индикатора</w:t>
            </w:r>
          </w:p>
        </w:tc>
        <w:tc>
          <w:tcPr>
            <w:tcW w:w="1320"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Извор података</w:t>
            </w:r>
          </w:p>
        </w:tc>
        <w:tc>
          <w:tcPr>
            <w:tcW w:w="1476"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Учесталост праћења</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lang w:val="sr-RS"/>
              </w:rPr>
            </w:pPr>
            <w:r>
              <w:rPr>
                <w:b/>
                <w:bCs/>
                <w:color w:themeColor="text1" w:val="000000"/>
                <w:sz w:val="24"/>
                <w:szCs w:val="24"/>
                <w:lang w:val="sr-RS" w:bidi="ar-SA"/>
              </w:rPr>
              <w:t>Подршка предшколском и школском систему</w:t>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нових места у вртићима</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ПУ "Љуба Станковић"</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Степен попуњености вртића (у %)</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ПУ / Општина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Полугодишње</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реализованих улагања у школску инфраструктуру</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ОШ / Општина</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b/>
                <w:bCs/>
                <w:color w:themeColor="text1" w:val="000000"/>
                <w:sz w:val="24"/>
                <w:szCs w:val="24"/>
                <w:lang w:val="sr-RS" w:bidi="ar-SA"/>
              </w:rPr>
              <w:t>Подршка младим родитељима</w:t>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корисника финансијских мера подршке</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Општина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Годишње</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Задовољство корисника услугама (1–5)</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Квалитативни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Анкете</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Једном 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b/>
                <w:bCs/>
                <w:color w:themeColor="text1" w:val="000000"/>
                <w:sz w:val="24"/>
                <w:szCs w:val="24"/>
                <w:lang w:val="sr-RS" w:bidi="ar-SA"/>
              </w:rPr>
              <w:t>Социјална и здравствена заштита</w:t>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педијатријских/гинеколошких прегледа</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Дом здравља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Квартално</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корисника патронажних услуга</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Дом здравља</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b/>
                <w:bCs/>
                <w:color w:themeColor="text1" w:val="000000"/>
                <w:sz w:val="24"/>
                <w:szCs w:val="24"/>
                <w:lang w:val="sr-RS" w:bidi="ar-SA"/>
              </w:rPr>
              <w:t>Инфраструктура и рурална подручја</w:t>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уређених/реконструисаних путева у селима</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Општина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Годишње</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насеља са унапређеним јавним превозом</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Квалитативни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Општина / МЗ</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b/>
                <w:bCs/>
                <w:color w:themeColor="text1" w:val="000000"/>
                <w:sz w:val="24"/>
                <w:szCs w:val="24"/>
                <w:lang w:val="sr-RS" w:bidi="ar-SA"/>
              </w:rPr>
              <w:t>Подстицање наталитета</w:t>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живорођене деце по години</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Матична служба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Годишње</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породица са 3+ деце које су добиле подршку</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Општина</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b/>
                <w:bCs/>
                <w:color w:themeColor="text1" w:val="000000"/>
                <w:sz w:val="24"/>
                <w:szCs w:val="24"/>
                <w:lang w:val="sr-RS" w:bidi="ar-SA"/>
              </w:rPr>
              <w:t>Задржавање младих</w:t>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младих (20–40) који остају у општини (миграциони биланс)</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МУП / Општина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Годишње</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новоусељених младих породица</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Општина</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95"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b/>
                <w:bCs/>
                <w:color w:themeColor="text1" w:val="000000"/>
                <w:sz w:val="24"/>
                <w:szCs w:val="24"/>
                <w:lang w:val="sr-RS" w:bidi="ar-SA"/>
              </w:rPr>
              <w:t>Подршка руралним срединама</w:t>
            </w:r>
          </w:p>
        </w:tc>
        <w:tc>
          <w:tcPr>
            <w:tcW w:w="28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реализованих активности у селима</w:t>
            </w:r>
          </w:p>
        </w:tc>
        <w:tc>
          <w:tcPr>
            <w:tcW w:w="1548"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Квантитативни</w:t>
            </w:r>
          </w:p>
        </w:tc>
        <w:tc>
          <w:tcPr>
            <w:tcW w:w="132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Општина</w:t>
            </w:r>
          </w:p>
        </w:tc>
        <w:tc>
          <w:tcPr>
            <w:tcW w:w="147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Квартално</w:t>
            </w:r>
          </w:p>
        </w:tc>
      </w:tr>
      <w:tr>
        <w:trPr>
          <w:cnfStyle w:val="000000100000" w:firstRow="0" w:lastRow="0" w:firstColumn="0" w:lastColumn="0" w:oddVBand="0" w:evenVBand="0" w:oddHBand="1" w:evenHBand="0" w:firstRowFirstColumn="0" w:firstRowLastColumn="0" w:lastRowFirstColumn="0" w:lastRowLastColumn="0"/>
        </w:trPr>
        <w:tc>
          <w:tcPr>
            <w:tcW w:w="1795"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color w:themeColor="text1" w:val="000000"/>
                <w:lang w:val="sr-RS"/>
              </w:rPr>
            </w:pPr>
            <w:r>
              <w:rPr>
                <w:b/>
                <w:bCs/>
                <w:color w:themeColor="text1" w:val="000000"/>
                <w:lang w:val="sr-RS"/>
              </w:rPr>
            </w:r>
          </w:p>
        </w:tc>
        <w:tc>
          <w:tcPr>
            <w:tcW w:w="28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Унапређење квалитета услуга (описно)</w:t>
            </w:r>
          </w:p>
        </w:tc>
        <w:tc>
          <w:tcPr>
            <w:tcW w:w="1548"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Квалитативни</w:t>
            </w:r>
          </w:p>
        </w:tc>
        <w:tc>
          <w:tcPr>
            <w:tcW w:w="132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Институције</w:t>
            </w:r>
          </w:p>
        </w:tc>
        <w:tc>
          <w:tcPr>
            <w:tcW w:w="147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bl>
    <w:p>
      <w:pPr>
        <w:pStyle w:val="Heading1"/>
        <w:jc w:val="both"/>
        <w:rPr>
          <w:rFonts w:ascii="Times New Roman" w:hAnsi="Times New Roman" w:cs="Times New Roman"/>
          <w:color w:themeColor="text1" w:val="000000"/>
          <w:sz w:val="24"/>
          <w:szCs w:val="24"/>
          <w:lang w:val="sr-RS"/>
        </w:rPr>
      </w:pPr>
      <w:r>
        <w:rPr>
          <w:rFonts w:cs="Times New Roman" w:ascii="Times New Roman" w:hAnsi="Times New Roman"/>
          <w:color w:themeColor="text1" w:val="000000"/>
          <w:sz w:val="24"/>
          <w:szCs w:val="24"/>
          <w:lang w:val="sr-RS"/>
        </w:rPr>
      </w:r>
    </w:p>
    <w:p>
      <w:pPr>
        <w:pStyle w:val="Normal"/>
        <w:jc w:val="both"/>
        <w:rPr>
          <w:lang w:val="sr-RS"/>
        </w:rPr>
      </w:pPr>
      <w:r>
        <w:rPr>
          <w:lang w:val="sr-RS"/>
        </w:rPr>
      </w:r>
    </w:p>
    <w:p>
      <w:pPr>
        <w:pStyle w:val="Heading1"/>
        <w:jc w:val="both"/>
        <w:rPr>
          <w:rFonts w:ascii="Times New Roman" w:hAnsi="Times New Roman" w:cs="Times New Roman"/>
          <w:sz w:val="24"/>
          <w:szCs w:val="24"/>
          <w:lang w:val="sr-RS"/>
        </w:rPr>
      </w:pPr>
      <w:r>
        <w:rPr>
          <w:rStyle w:val="Strong"/>
          <w:rFonts w:cs="Times New Roman" w:ascii="Times New Roman" w:hAnsi="Times New Roman"/>
          <w:color w:themeColor="text1" w:val="000000"/>
          <w:sz w:val="24"/>
          <w:szCs w:val="24"/>
          <w:lang w:val="sr-RS"/>
        </w:rPr>
        <w:t xml:space="preserve">12.3. КЉУЧНИ ИНДИКАТОРИ УТИЦАЈА </w:t>
      </w:r>
    </w:p>
    <w:p>
      <w:pPr>
        <w:pStyle w:val="Heading2"/>
        <w:spacing w:before="280" w:after="280"/>
        <w:jc w:val="both"/>
        <w:rPr>
          <w:sz w:val="24"/>
          <w:szCs w:val="24"/>
          <w:lang w:val="sr-RS"/>
        </w:rPr>
      </w:pPr>
      <w:r>
        <w:rPr>
          <w:rStyle w:val="Strong"/>
          <w:b/>
          <w:color w:themeColor="text1" w:val="000000"/>
          <w:sz w:val="24"/>
          <w:szCs w:val="24"/>
          <w:lang w:val="sr-RS"/>
        </w:rPr>
        <w:t>Табела 10: Индикатори мониторинга ЛАП-а општине Беочин</w:t>
      </w:r>
    </w:p>
    <w:tbl>
      <w:tblPr>
        <w:tblStyle w:val="GridTable4-Accent1"/>
        <w:tblW w:w="9209"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23"/>
        <w:gridCol w:w="1943"/>
        <w:gridCol w:w="2070"/>
        <w:gridCol w:w="1796"/>
        <w:gridCol w:w="1677"/>
      </w:tblGrid>
      <w:tr>
        <w:trPr>
          <w:cnfStyle w:val="100000000000" w:firstRow="1" w:lastRow="0" w:firstColumn="0" w:lastColumn="0" w:oddVBand="0" w:evenVBand="0" w:oddHBand="0" w:evenHBand="0" w:firstRowFirstColumn="0" w:firstRowLastColumn="0" w:lastRowFirstColumn="0" w:lastRowLastColumn="0"/>
        </w:trPr>
        <w:tc>
          <w:tcPr>
            <w:tcW w:w="1723" w:type="dxa"/>
            <w:cnfStyle w:val="001000000000" w:firstRow="0" w:lastRow="0" w:firstColumn="1" w:lastColumn="0" w:oddVBand="0" w:evenVBand="0" w:oddHBand="0" w:evenHBand="0" w:firstRowFirstColumn="0" w:firstRowLastColumn="0" w:lastRowFirstColumn="0" w:lastRowLastColumn="0"/>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rPr>
                <w:color w:themeColor="background1" w:val="FFFFFF"/>
                <w:lang w:val="sr-RS"/>
              </w:rPr>
            </w:pPr>
            <w:r>
              <w:rPr>
                <w:rStyle w:val="Strong"/>
                <w:b/>
                <w:bCs/>
                <w:color w:themeColor="text1" w:val="000000"/>
                <w:sz w:val="24"/>
                <w:szCs w:val="24"/>
                <w:lang w:val="sr-RS" w:bidi="ar-SA"/>
              </w:rPr>
              <w:t>Област / Циљ</w:t>
            </w:r>
          </w:p>
        </w:tc>
        <w:tc>
          <w:tcPr>
            <w:tcW w:w="1943"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Индикатор</w:t>
            </w:r>
          </w:p>
        </w:tc>
        <w:tc>
          <w:tcPr>
            <w:tcW w:w="2070"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Начин мерења</w:t>
            </w:r>
          </w:p>
        </w:tc>
        <w:tc>
          <w:tcPr>
            <w:tcW w:w="1796"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Извор података</w:t>
            </w:r>
          </w:p>
        </w:tc>
        <w:tc>
          <w:tcPr>
            <w:tcW w:w="1677" w:type="dxa"/>
            <w:tcBorders>
              <w:top w:val="single" w:sz="4" w:space="0" w:color="4472C4"/>
              <w:left w:val="single" w:sz="4" w:space="0" w:color="4472C4"/>
              <w:bottom w:val="single" w:sz="4" w:space="0" w:color="4472C4"/>
              <w:right w:val="single" w:sz="4" w:space="0" w:color="4472C4"/>
            </w:tcBorders>
            <w:shd w:color="auto" w:fill="4472C4" w:themeFill="accent1" w:val="clear"/>
          </w:tcPr>
          <w:p>
            <w:pPr>
              <w:pStyle w:val="Normal"/>
              <w:widowControl w:val="false"/>
              <w:suppressAutoHyphens w:val="true"/>
              <w:spacing w:before="0" w:after="0"/>
              <w:jc w:val="both"/>
              <w:cnfStyle w:val="100000000000" w:firstRow="1" w:lastRow="0" w:firstColumn="0" w:lastColumn="0" w:oddVBand="0" w:evenVBand="0" w:oddHBand="0" w:evenHBand="0" w:firstRowFirstColumn="0" w:firstRowLastColumn="0" w:lastRowFirstColumn="0" w:lastRowLastColumn="0"/>
              <w:rPr>
                <w:color w:themeColor="background1" w:val="FFFFFF"/>
                <w:lang w:val="sr-RS"/>
              </w:rPr>
            </w:pPr>
            <w:r>
              <w:rPr>
                <w:rStyle w:val="Strong"/>
                <w:b/>
                <w:bCs/>
                <w:color w:themeColor="text1" w:val="000000"/>
                <w:sz w:val="24"/>
                <w:szCs w:val="24"/>
                <w:lang w:val="sr-RS" w:bidi="ar-SA"/>
              </w:rPr>
              <w:t>Учесталост праћења</w:t>
            </w:r>
          </w:p>
        </w:tc>
      </w:tr>
      <w:tr>
        <w:trPr>
          <w:cnfStyle w:val="000000100000" w:firstRow="0" w:lastRow="0" w:firstColumn="0" w:lastColumn="0" w:oddVBand="0" w:evenVBand="0" w:oddHBand="1" w:evenHBand="0" w:firstRowFirstColumn="0" w:firstRowLastColumn="0" w:lastRowFirstColumn="0" w:lastRowLastColumn="0"/>
        </w:trPr>
        <w:tc>
          <w:tcPr>
            <w:tcW w:w="172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lang w:val="sr-RS"/>
              </w:rPr>
            </w:pPr>
            <w:r>
              <w:rPr>
                <w:rStyle w:val="Strong"/>
                <w:b/>
                <w:bCs/>
                <w:color w:themeColor="text1" w:val="000000"/>
                <w:sz w:val="24"/>
                <w:szCs w:val="24"/>
                <w:lang w:val="sr-RS" w:bidi="ar-SA"/>
              </w:rPr>
              <w:t>Повећање стопе наталитета</w:t>
            </w:r>
          </w:p>
        </w:tc>
        <w:tc>
          <w:tcPr>
            <w:tcW w:w="1943"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Број живорођених</w:t>
            </w:r>
          </w:p>
        </w:tc>
        <w:tc>
          <w:tcPr>
            <w:tcW w:w="207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Поређење броја живорођених са претходним годинама</w:t>
            </w:r>
          </w:p>
        </w:tc>
        <w:tc>
          <w:tcPr>
            <w:tcW w:w="179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Матичне књиге рођених (МУП / Одељење за управу)</w:t>
            </w:r>
          </w:p>
        </w:tc>
        <w:tc>
          <w:tcPr>
            <w:tcW w:w="16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23"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rStyle w:val="Strong"/>
                <w:b/>
                <w:bCs/>
                <w:color w:themeColor="text1" w:val="000000"/>
                <w:sz w:val="24"/>
                <w:szCs w:val="24"/>
                <w:lang w:val="sr-RS" w:bidi="ar-SA"/>
              </w:rPr>
              <w:t>Смањење негативног миграционог биланса</w:t>
            </w:r>
          </w:p>
        </w:tc>
        <w:tc>
          <w:tcPr>
            <w:tcW w:w="1943"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Миграциони биланс младих породица</w:t>
            </w:r>
          </w:p>
        </w:tc>
        <w:tc>
          <w:tcPr>
            <w:tcW w:w="207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Однос броја досељених и одсељених породичних домаћинстава</w:t>
            </w:r>
          </w:p>
        </w:tc>
        <w:tc>
          <w:tcPr>
            <w:tcW w:w="179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Општинска управа / месне заједнице / анкетни подаци</w:t>
            </w:r>
          </w:p>
        </w:tc>
        <w:tc>
          <w:tcPr>
            <w:tcW w:w="16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Годишње</w:t>
            </w:r>
          </w:p>
        </w:tc>
      </w:tr>
      <w:tr>
        <w:trPr>
          <w:cnfStyle w:val="000000100000" w:firstRow="0" w:lastRow="0" w:firstColumn="0" w:lastColumn="0" w:oddVBand="0" w:evenVBand="0" w:oddHBand="1" w:evenHBand="0" w:firstRowFirstColumn="0" w:firstRowLastColumn="0" w:lastRowFirstColumn="0" w:lastRowLastColumn="0"/>
        </w:trPr>
        <w:tc>
          <w:tcPr>
            <w:tcW w:w="172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lang w:val="sr-RS"/>
              </w:rPr>
            </w:pPr>
            <w:r>
              <w:rPr>
                <w:rStyle w:val="Strong"/>
                <w:b/>
                <w:bCs/>
                <w:color w:themeColor="text1" w:val="000000"/>
                <w:sz w:val="24"/>
                <w:szCs w:val="24"/>
                <w:lang w:val="sr-RS" w:bidi="ar-SA"/>
              </w:rPr>
              <w:t>Повећање обухвата деце предшколским системом</w:t>
            </w:r>
          </w:p>
        </w:tc>
        <w:tc>
          <w:tcPr>
            <w:tcW w:w="1943"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Проценат деце 3–5,5 година у вртићима</w:t>
            </w:r>
          </w:p>
        </w:tc>
        <w:tc>
          <w:tcPr>
            <w:tcW w:w="207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Удео уписане деце у односу на укупан број деце у том узрасту</w:t>
            </w:r>
          </w:p>
        </w:tc>
        <w:tc>
          <w:tcPr>
            <w:tcW w:w="179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ПУ „Љуба Станковић“ / Републички завод за статистику</w:t>
            </w:r>
          </w:p>
        </w:tc>
        <w:tc>
          <w:tcPr>
            <w:tcW w:w="16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Полугодишње</w:t>
            </w:r>
          </w:p>
        </w:tc>
      </w:tr>
      <w:tr>
        <w:trPr/>
        <w:tc>
          <w:tcPr>
            <w:tcW w:w="1723"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rStyle w:val="Strong"/>
                <w:b/>
                <w:bCs/>
                <w:color w:themeColor="text1" w:val="000000"/>
                <w:sz w:val="24"/>
                <w:szCs w:val="24"/>
                <w:lang w:val="sr-RS" w:bidi="ar-SA"/>
              </w:rPr>
              <w:t>Смањење разлика у квалитету услуга између градског и руралног дела општине</w:t>
            </w:r>
          </w:p>
        </w:tc>
        <w:tc>
          <w:tcPr>
            <w:tcW w:w="1943"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Индекс доступности услуга у руралним насељима</w:t>
            </w:r>
          </w:p>
        </w:tc>
        <w:tc>
          <w:tcPr>
            <w:tcW w:w="207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Поређење услуга (здравствене, образовне, социјалне, инфраструктурне) по насељима</w:t>
            </w:r>
          </w:p>
        </w:tc>
        <w:tc>
          <w:tcPr>
            <w:tcW w:w="179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Општинске службе / локалне установе / месне заједнице</w:t>
            </w:r>
          </w:p>
        </w:tc>
        <w:tc>
          <w:tcPr>
            <w:tcW w:w="16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Годишње</w:t>
            </w:r>
          </w:p>
        </w:tc>
      </w:tr>
      <w:tr>
        <w:trPr>
          <w:cnfStyle w:val="000000100000" w:firstRow="0" w:lastRow="0" w:firstColumn="0" w:lastColumn="0" w:oddVBand="0" w:evenVBand="0" w:oddHBand="1" w:evenHBand="0" w:firstRowFirstColumn="0" w:firstRowLastColumn="0" w:lastRowFirstColumn="0" w:lastRowLastColumn="0"/>
        </w:trPr>
        <w:tc>
          <w:tcPr>
            <w:tcW w:w="1723" w:type="dxa"/>
            <w:cnfStyle w:val="001000000000" w:firstRow="0" w:lastRow="0" w:firstColumn="1" w:lastColumn="0" w:oddVBand="0" w:evenVBand="0" w:oddHBand="0" w:evenHBand="0" w:firstRowFirstColumn="0" w:firstRowLastColumn="0" w:lastRowFirstColumn="0" w:lastRowLastColumn="0"/>
            <w:tcBorders/>
            <w:shd w:color="auto" w:fill="D9E2F3" w:themeFill="accent1" w:themeFillTint="33" w:val="clear"/>
          </w:tcPr>
          <w:p>
            <w:pPr>
              <w:pStyle w:val="Normal"/>
              <w:widowControl w:val="false"/>
              <w:suppressAutoHyphens w:val="true"/>
              <w:spacing w:before="0" w:after="0"/>
              <w:jc w:val="both"/>
              <w:rPr>
                <w:lang w:val="sr-RS"/>
              </w:rPr>
            </w:pPr>
            <w:r>
              <w:rPr>
                <w:rStyle w:val="Strong"/>
                <w:b/>
                <w:bCs/>
                <w:color w:themeColor="text1" w:val="000000"/>
                <w:sz w:val="24"/>
                <w:szCs w:val="24"/>
                <w:lang w:val="sr-RS" w:bidi="ar-SA"/>
              </w:rPr>
              <w:t>Повећање задовољства грађана услугама подршке породици</w:t>
            </w:r>
          </w:p>
        </w:tc>
        <w:tc>
          <w:tcPr>
            <w:tcW w:w="1943"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Степен задовољства корисника</w:t>
            </w:r>
          </w:p>
        </w:tc>
        <w:tc>
          <w:tcPr>
            <w:tcW w:w="2070"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Анкете грађана (онлајн и у установама)</w:t>
            </w:r>
          </w:p>
        </w:tc>
        <w:tc>
          <w:tcPr>
            <w:tcW w:w="1796"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Општина Беочин / јавне установе</w:t>
            </w:r>
          </w:p>
        </w:tc>
        <w:tc>
          <w:tcPr>
            <w:tcW w:w="1677" w:type="dxa"/>
            <w:tcBorders/>
            <w:shd w:color="auto" w:fill="D9E2F3" w:themeFill="accent1" w:themeFillTint="33" w:val="clear"/>
          </w:tcPr>
          <w:p>
            <w:pPr>
              <w:pStyle w:val="Normal"/>
              <w:widowControl w:val="false"/>
              <w:suppressAutoHyphens w:val="true"/>
              <w:spacing w:before="0" w:after="0"/>
              <w:jc w:val="both"/>
              <w:cnfStyle w:val="000000100000" w:firstRow="0" w:lastRow="0" w:firstColumn="0" w:lastColumn="0" w:oddVBand="0" w:evenVBand="0" w:oddHBand="1" w:evenHBand="0" w:firstRowFirstColumn="0" w:firstRowLastColumn="0" w:lastRowFirstColumn="0" w:lastRowLastColumn="0"/>
              <w:rPr>
                <w:lang w:val="sr-RS"/>
              </w:rPr>
            </w:pPr>
            <w:r>
              <w:rPr>
                <w:color w:themeColor="text1" w:val="000000"/>
                <w:sz w:val="24"/>
                <w:szCs w:val="24"/>
                <w:lang w:val="sr-RS" w:bidi="ar-SA"/>
              </w:rPr>
              <w:t>Годишње</w:t>
            </w:r>
          </w:p>
        </w:tc>
      </w:tr>
      <w:tr>
        <w:trPr/>
        <w:tc>
          <w:tcPr>
            <w:tcW w:w="1723" w:type="dxa"/>
            <w:cnfStyle w:val="001000000000" w:firstRow="0" w:lastRow="0" w:firstColumn="1" w:lastColumn="0" w:oddVBand="0" w:evenVBand="0" w:oddHBand="0" w:evenHBand="0" w:firstRowFirstColumn="0" w:firstRowLastColumn="0" w:lastRowFirstColumn="0" w:lastRowLastColumn="0"/>
            <w:tcBorders/>
          </w:tcPr>
          <w:p>
            <w:pPr>
              <w:pStyle w:val="Normal"/>
              <w:widowControl w:val="false"/>
              <w:suppressAutoHyphens w:val="true"/>
              <w:spacing w:before="0" w:after="0"/>
              <w:jc w:val="both"/>
              <w:rPr>
                <w:lang w:val="sr-RS"/>
              </w:rPr>
            </w:pPr>
            <w:r>
              <w:rPr>
                <w:rStyle w:val="Strong"/>
                <w:b/>
                <w:bCs/>
                <w:color w:themeColor="text1" w:val="000000"/>
                <w:sz w:val="24"/>
                <w:szCs w:val="24"/>
                <w:lang w:val="sr-RS" w:bidi="ar-SA"/>
              </w:rPr>
              <w:t>Повећање укључености институција у заједничке активности</w:t>
            </w:r>
          </w:p>
        </w:tc>
        <w:tc>
          <w:tcPr>
            <w:tcW w:w="1943"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Број интерсекторских програма</w:t>
            </w:r>
          </w:p>
        </w:tc>
        <w:tc>
          <w:tcPr>
            <w:tcW w:w="2070"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Евиденција реализованих заједничких активности образовања, здравства, социјалне заштите, ТО, ЦСР итд.</w:t>
            </w:r>
          </w:p>
        </w:tc>
        <w:tc>
          <w:tcPr>
            <w:tcW w:w="1796"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Општински координациони тим ЛАП-а</w:t>
            </w:r>
          </w:p>
        </w:tc>
        <w:tc>
          <w:tcPr>
            <w:tcW w:w="1677" w:type="dxa"/>
            <w:tcBorders/>
          </w:tcPr>
          <w:p>
            <w:pPr>
              <w:pStyle w:val="Normal"/>
              <w:widowControl w:val="false"/>
              <w:suppressAutoHyphens w:val="true"/>
              <w:spacing w:before="0" w:after="0"/>
              <w:jc w:val="both"/>
              <w:cnfStyle w:val="000000000000" w:firstRow="0" w:lastRow="0" w:firstColumn="0" w:lastColumn="0" w:oddVBand="0" w:evenVBand="0" w:oddHBand="0" w:evenHBand="0" w:firstRowFirstColumn="0" w:firstRowLastColumn="0" w:lastRowFirstColumn="0" w:lastRowLastColumn="0"/>
              <w:rPr>
                <w:lang w:val="sr-RS"/>
              </w:rPr>
            </w:pPr>
            <w:r>
              <w:rPr>
                <w:color w:themeColor="text1" w:val="000000"/>
                <w:sz w:val="24"/>
                <w:szCs w:val="24"/>
                <w:lang w:val="sr-RS" w:bidi="ar-SA"/>
              </w:rPr>
              <w:t>Полугодишње</w:t>
            </w:r>
          </w:p>
        </w:tc>
      </w:tr>
    </w:tbl>
    <w:p>
      <w:pPr>
        <w:pStyle w:val="Heading1"/>
        <w:jc w:val="both"/>
        <w:rPr>
          <w:rFonts w:ascii="Times New Roman" w:hAnsi="Times New Roman" w:cs="Times New Roman"/>
          <w:color w:themeColor="text1" w:val="000000"/>
          <w:sz w:val="24"/>
          <w:szCs w:val="24"/>
          <w:lang w:val="sr-RS"/>
        </w:rPr>
      </w:pPr>
      <w:r>
        <w:rPr>
          <w:lang w:val="sr-RS"/>
        </w:rPr>
      </w:r>
    </w:p>
    <w:p>
      <w:pPr>
        <w:pStyle w:val="NormalWeb"/>
        <w:spacing w:before="280" w:after="280"/>
        <w:jc w:val="both"/>
        <w:rPr>
          <w:lang w:val="sr-RS"/>
        </w:rPr>
      </w:pPr>
      <w:r>
        <w:rPr>
          <w:b/>
          <w:bCs/>
          <w:color w:themeColor="text1" w:val="000000"/>
          <w:lang w:val="sr-RS"/>
        </w:rPr>
        <w:t xml:space="preserve">13. ЗАКЉУЧАК </w:t>
      </w:r>
    </w:p>
    <w:p>
      <w:pPr>
        <w:pStyle w:val="NormalWeb"/>
        <w:spacing w:before="280" w:after="280"/>
        <w:jc w:val="both"/>
        <w:rPr>
          <w:lang w:val="sr-RS"/>
        </w:rPr>
      </w:pPr>
      <w:r>
        <w:rPr>
          <w:lang w:val="sr-RS"/>
        </w:rPr>
        <w:t>Локални акциони план за популациону политику општине Беочин за период 2026–2028. године представља свеобухватан и интегрисан документ који одражава реалне демографске изазове и потребе локалне заједнице. Ослањајући се на детаљне анализе званичних података, увиде локалних институција и мишљења грађана, ЛАП поставља јасне стратешке и оперативне циљеве који усмеравају општину ка стабилнијем демографском развоју, већој подршци породицама и побољшању квалитета живота становништва.</w:t>
      </w:r>
    </w:p>
    <w:p>
      <w:pPr>
        <w:pStyle w:val="NormalWeb"/>
        <w:spacing w:before="280" w:after="280"/>
        <w:jc w:val="both"/>
        <w:rPr>
          <w:lang w:val="sr-RS"/>
        </w:rPr>
      </w:pPr>
      <w:r>
        <w:rPr>
          <w:lang w:val="sr-RS"/>
        </w:rPr>
        <w:t>Прикупљени подаци указују да су главни изазови ниска стопа наталитета, постепено старење становништва, одлив младих и изражене разлике у квалитету услуга између градског и руралног дела општине. Иако општина бележи умерено позитиван миграциони биланс, структура миграција показује да се углавном досељавају породице средње животне доби, док млади одлазе након школовања, што дугорочно утиче на демографски потенцијал. Истовремено, значајни потенцијали Беочина — географски положај, добра повезаност, природни ресурси и образовне установе у близини — представљају важну основу за унапређење демографске слике. Изузетно је значајно што је Покрајински секретаријат за социјалну политику, демографију и равноправност полова препознао потребу за израдом овог документа и финансијски подржао израду ЛАП-а, чиме је омогућено систематско и стручном анализом утемељено планирање мера које су од кључне важности за демографски опоравак општине Беочин.</w:t>
      </w:r>
    </w:p>
    <w:p>
      <w:pPr>
        <w:pStyle w:val="NormalWeb"/>
        <w:spacing w:before="280" w:after="280"/>
        <w:jc w:val="both"/>
        <w:rPr>
          <w:lang w:val="sr-RS"/>
        </w:rPr>
      </w:pPr>
      <w:r>
        <w:rPr>
          <w:lang w:val="sr-RS"/>
        </w:rPr>
        <w:t>Све предложене мере структурисане су у оквиру приоритетних области: рано детињство и образовање, здравствене услуге, економска стабилност породица, развој руралних средина, системска подршка породицама и јачање садржаја за младе. Мере су реалистичне, спроводиве и усклађене са финансијским, институционалним и људским ресурсима општине. Посебан значај има увођење механизама за координацију, праћење и евалуацију, као и јасно дефинисани индикатори који омогућавају транспарентно праћење спровођења ЛАП-а.</w:t>
      </w:r>
    </w:p>
    <w:p>
      <w:pPr>
        <w:pStyle w:val="NormalWeb"/>
        <w:spacing w:before="280" w:after="280"/>
        <w:jc w:val="both"/>
        <w:rPr>
          <w:lang w:val="sr-RS"/>
        </w:rPr>
      </w:pPr>
      <w:r>
        <w:rPr>
          <w:lang w:val="sr-RS"/>
        </w:rPr>
        <w:t>Имплементација ЛАП-а постављена је у три фазе — иницијална, оперативна и завршна — што омогућава постепено увођење мера, континуирано прилагођавање и процену ефеката. Овај приступ обезбеђује стабилност процеса, укљученост свих релевантних актера и довољну флексибилност за корекције у складу са уоченим потребама. Додатна вредност ЛАП-а лежи у томе што је развијен уз учешће грађана, институција и локалних партнера, што доприноси његовој одрживости и прихваћености у заједници.</w:t>
      </w:r>
    </w:p>
    <w:p>
      <w:pPr>
        <w:pStyle w:val="NormalWeb"/>
        <w:spacing w:before="280" w:after="280"/>
        <w:jc w:val="both"/>
        <w:rPr>
          <w:lang w:val="sr-RS"/>
        </w:rPr>
      </w:pPr>
      <w:r>
        <w:rPr>
          <w:lang w:val="sr-RS"/>
        </w:rPr>
        <w:t>ЛАП општине Беочин не представља само административни документ, већ алат за стварање бољих услова живота, подршку породицама и укупни друштвени развој. Својом визијом и практичним решењима поставља основу за дугорочно јачање демографског потенцијала општине и доприноси изградњи локалне заједнице у којој се млади задржавају, породице оснажују, а рурални и градски делови равномерно развијају. Спровођење овог плана биће од пресудног значаја за демографску стабилност Беочина и за обезбеђивање квалитетнијег и одрживијег живота за будуће генерације.</w:t>
      </w:r>
    </w:p>
    <w:sectPr>
      <w:headerReference w:type="default" r:id="rId12"/>
      <w:footerReference w:type="even" r:id="rId13"/>
      <w:footerReference w:type="default" r:id="rId14"/>
      <w:footerReference w:type="first" r:id="rId15"/>
      <w:type w:val="nextPage"/>
      <w:pgSz w:w="11906" w:h="16838"/>
      <w:pgMar w:left="1440" w:right="1440" w:gutter="0" w:header="708" w:top="1440" w:footer="708" w:bottom="144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1"/>
    <w:family w:val="roman"/>
    <w:pitch w:val="default"/>
  </w:font>
  <w:font w:name="Times New Roman">
    <w:charset w:val="01"/>
    <w:family w:val="roman"/>
    <w:pitch w:val="default"/>
  </w:font>
  <w:font w:name="Calibri Light">
    <w:charset w:val="01"/>
    <w:family w:val="roman"/>
    <w:pitch w:val="default"/>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612846563"/>
    </w:sdtPr>
    <w:sdtContent>
      <w:p>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p>
    </w:sdtContent>
  </w:sdt>
  <w:p>
    <w:pPr>
      <w:pStyle w:val="Footer"/>
      <w:ind w:hanging="0" w:right="36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46696345"/>
    </w:sdtPr>
    <w:sdtContent>
      <w:p>
        <w:pPr>
          <w:pStyle w:val="Footer"/>
          <w:jc w:val="center"/>
          <w:rPr/>
        </w:pPr>
        <w:r>
          <w:rPr>
            <w:rStyle w:val="Pagenumber"/>
          </w:rPr>
          <w:fldChar w:fldCharType="begin"/>
        </w:r>
        <w:r>
          <w:rPr>
            <w:rStyle w:val="Pagenumber"/>
          </w:rPr>
          <w:instrText xml:space="preserve"> PAGE </w:instrText>
        </w:r>
        <w:r>
          <w:rPr>
            <w:rStyle w:val="Pagenumber"/>
          </w:rPr>
          <w:fldChar w:fldCharType="separate"/>
        </w:r>
        <w:r>
          <w:rPr>
            <w:rStyle w:val="Pagenumber"/>
          </w:rPr>
          <w:t>51</w:t>
        </w:r>
        <w:r>
          <w:rPr>
            <w:rStyle w:val="Pagenumber"/>
          </w:rPr>
          <w:fldChar w:fldCharType="end"/>
        </w:r>
      </w:p>
    </w:sdtContent>
  </w:sdt>
  <w:p>
    <w:pPr>
      <w:pStyle w:val="Normal"/>
      <w:spacing w:lineRule="exact" w:line="200"/>
      <w:jc w:val="center"/>
      <w:rPr>
        <w:b/>
        <w:bCs/>
        <w:color w:val="000000"/>
        <w:szCs w:val="20"/>
        <w:lang w:val="ru-RU"/>
      </w:rPr>
    </w:pPr>
    <w:r>
      <w:rPr>
        <w:sz w:val="20"/>
        <w:szCs w:val="20"/>
        <w:lang w:val="sr-RS"/>
      </w:rPr>
      <w:t>ЛАП за популациону политику за период 2026. – 2028. године финансиран средствима Покрајинског секретаријата за социјалну политику, демографију и равноправност полова</w:t>
    </w:r>
  </w:p>
  <w:p>
    <w:pPr>
      <w:pStyle w:val="Footer"/>
      <w:ind w:hanging="0" w:right="360"/>
      <w:rPr/>
    </w:pPr>
    <w:r>
      <w:rPr/>
    </w:r>
  </w:p>
  <w:p>
    <w:pPr>
      <w:pStyle w:val="Footer"/>
      <w:ind w:hanging="0" w:right="36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246696345"/>
    </w:sdtPr>
    <w:sdtContent>
      <w:p>
        <w:pPr>
          <w:pStyle w:val="Footer"/>
          <w:jc w:val="center"/>
          <w:rPr/>
        </w:pPr>
        <w:r>
          <w:rPr>
            <w:rStyle w:val="Pagenumber"/>
          </w:rPr>
          <w:fldChar w:fldCharType="begin"/>
        </w:r>
        <w:r>
          <w:rPr>
            <w:rStyle w:val="Pagenumber"/>
          </w:rPr>
          <w:instrText xml:space="preserve"> PAGE </w:instrText>
        </w:r>
        <w:r>
          <w:rPr>
            <w:rStyle w:val="Pagenumber"/>
          </w:rPr>
          <w:fldChar w:fldCharType="separate"/>
        </w:r>
        <w:r>
          <w:rPr>
            <w:rStyle w:val="Pagenumber"/>
          </w:rPr>
          <w:t>51</w:t>
        </w:r>
        <w:r>
          <w:rPr>
            <w:rStyle w:val="Pagenumber"/>
          </w:rPr>
          <w:fldChar w:fldCharType="end"/>
        </w:r>
      </w:p>
    </w:sdtContent>
  </w:sdt>
  <w:p>
    <w:pPr>
      <w:pStyle w:val="Normal"/>
      <w:spacing w:lineRule="exact" w:line="200"/>
      <w:jc w:val="center"/>
      <w:rPr>
        <w:b/>
        <w:bCs/>
        <w:color w:val="000000"/>
        <w:szCs w:val="20"/>
        <w:lang w:val="ru-RU"/>
      </w:rPr>
    </w:pPr>
    <w:r>
      <w:rPr>
        <w:sz w:val="20"/>
        <w:szCs w:val="20"/>
        <w:lang w:val="sr-RS"/>
      </w:rPr>
      <w:t>ЛАП за популациону политику за период 2026. – 2028. године финансиран средствима Покрајинског секретаријата за социјалну политику, демографију и равноправност полова</w:t>
    </w:r>
  </w:p>
  <w:p>
    <w:pPr>
      <w:pStyle w:val="Footer"/>
      <w:ind w:hanging="0" w:right="360"/>
      <w:rPr/>
    </w:pPr>
    <w:r>
      <w:rPr/>
    </w:r>
  </w:p>
  <w:p>
    <w:pPr>
      <w:pStyle w:val="Footer"/>
      <w:ind w:hanging="0" w:right="360"/>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sz w:val="20"/>
        <w:szCs w:val="20"/>
        <w:lang w:val="sr-RS"/>
      </w:rPr>
    </w:pPr>
    <w:r>
      <w:rPr>
        <w:sz w:val="20"/>
        <w:szCs w:val="20"/>
        <w:lang w:val="sr-RS"/>
      </w:rPr>
    </w:r>
  </w:p>
  <w:p>
    <w:pPr>
      <w:pStyle w:val="Header"/>
      <w:jc w:val="center"/>
      <w:rPr>
        <w:sz w:val="20"/>
        <w:szCs w:val="20"/>
        <w:lang w:val="sr-RS"/>
      </w:rPr>
    </w:pPr>
    <w:r>
      <w:rPr>
        <w:sz w:val="20"/>
        <w:szCs w:val="20"/>
        <w:lang w:val="sr-RS"/>
      </w:rPr>
      <w:t xml:space="preserve">             </w:t>
    </w:r>
  </w:p>
  <w:p>
    <w:pPr>
      <w:pStyle w:val="Header"/>
      <w:jc w:val="both"/>
      <w:rPr>
        <w:b/>
        <w:bCs/>
        <w:color w:val="000000"/>
        <w:sz w:val="20"/>
        <w:szCs w:val="20"/>
        <w:lang w:val="sr-RS"/>
      </w:rPr>
    </w:pPr>
    <w:r>
      <w:rPr>
        <w:b/>
        <w:bCs/>
        <w:color w:val="000000"/>
        <w:sz w:val="20"/>
        <w:szCs w:val="20"/>
        <w:lang w:val="sr-RS"/>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rPr>
        <w:sz w:val="24"/>
        <w:b/>
        <w:szCs w:val="24"/>
        <w:bCs/>
        <w:rFonts w:ascii="Times New Roman" w:hAnsi="Times New Roman" w:cs="Times New Roman"/>
        <w:color w:themeColor="text1" w:val="000000"/>
      </w:rPr>
    </w:lvl>
    <w:lvl w:ilvl="1">
      <w:start w:val="3"/>
      <w:numFmt w:val="decimal"/>
      <w:lvlText w:val="%1.%2"/>
      <w:lvlJc w:val="left"/>
      <w:pPr>
        <w:tabs>
          <w:tab w:val="num" w:pos="0"/>
        </w:tabs>
        <w:ind w:left="720" w:hanging="360"/>
      </w:pPr>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lvl w:ilvl="0">
      <w:start w:val="8"/>
      <w:numFmt w:val="decimal"/>
      <w:lvlText w:val="%1"/>
      <w:lvlJc w:val="left"/>
      <w:pPr>
        <w:tabs>
          <w:tab w:val="num" w:pos="0"/>
        </w:tabs>
        <w:ind w:left="360" w:hanging="360"/>
      </w:pPr>
      <w:rPr>
        <w:b/>
        <w:rFonts w:ascii="Calibri Light" w:hAnsi="Calibri Light" w:cs="" w:asciiTheme="majorHAnsi" w:cstheme="majorBidi" w:hAnsiTheme="majorHAnsi"/>
        <w:color w:themeColor="accent1" w:themeShade="bf" w:val="2F5496"/>
      </w:rPr>
    </w:lvl>
    <w:lvl w:ilvl="1">
      <w:start w:val="1"/>
      <w:numFmt w:val="decimal"/>
      <w:lvlText w:val="%1.%2"/>
      <w:lvlJc w:val="left"/>
      <w:pPr>
        <w:tabs>
          <w:tab w:val="num" w:pos="0"/>
        </w:tabs>
        <w:ind w:left="360" w:hanging="360"/>
      </w:pPr>
      <w:rPr>
        <w:b/>
        <w:rFonts w:ascii="Times New Roman" w:hAnsi="Times New Roman" w:cs="Times New Roman"/>
        <w:color w:themeColor="text1" w:val="000000"/>
      </w:rPr>
    </w:lvl>
    <w:lvl w:ilvl="2">
      <w:start w:val="1"/>
      <w:numFmt w:val="decimal"/>
      <w:lvlText w:val="%1.%2.%3"/>
      <w:lvlJc w:val="left"/>
      <w:pPr>
        <w:tabs>
          <w:tab w:val="num" w:pos="0"/>
        </w:tabs>
        <w:ind w:left="720" w:hanging="720"/>
      </w:pPr>
      <w:rPr>
        <w:b/>
        <w:rFonts w:ascii="Calibri Light" w:hAnsi="Calibri Light" w:cs="" w:asciiTheme="majorHAnsi" w:cstheme="majorBidi" w:hAnsiTheme="majorHAnsi"/>
        <w:color w:themeColor="accent1" w:themeShade="bf" w:val="2F5496"/>
      </w:rPr>
    </w:lvl>
    <w:lvl w:ilvl="3">
      <w:start w:val="1"/>
      <w:numFmt w:val="decimal"/>
      <w:lvlText w:val="%1.%2.%3.%4"/>
      <w:lvlJc w:val="left"/>
      <w:pPr>
        <w:tabs>
          <w:tab w:val="num" w:pos="0"/>
        </w:tabs>
        <w:ind w:left="720" w:hanging="720"/>
      </w:pPr>
      <w:rPr>
        <w:b/>
        <w:rFonts w:ascii="Calibri Light" w:hAnsi="Calibri Light" w:cs="" w:asciiTheme="majorHAnsi" w:cstheme="majorBidi" w:hAnsiTheme="majorHAnsi"/>
        <w:color w:themeColor="accent1" w:themeShade="bf" w:val="2F5496"/>
      </w:rPr>
    </w:lvl>
    <w:lvl w:ilvl="4">
      <w:start w:val="1"/>
      <w:numFmt w:val="decimal"/>
      <w:lvlText w:val="%1.%2.%3.%4.%5"/>
      <w:lvlJc w:val="left"/>
      <w:pPr>
        <w:tabs>
          <w:tab w:val="num" w:pos="0"/>
        </w:tabs>
        <w:ind w:left="1080" w:hanging="1080"/>
      </w:pPr>
      <w:rPr>
        <w:b/>
        <w:rFonts w:ascii="Calibri Light" w:hAnsi="Calibri Light" w:cs="" w:asciiTheme="majorHAnsi" w:cstheme="majorBidi" w:hAnsiTheme="majorHAnsi"/>
        <w:color w:themeColor="accent1" w:themeShade="bf" w:val="2F5496"/>
      </w:rPr>
    </w:lvl>
    <w:lvl w:ilvl="5">
      <w:start w:val="1"/>
      <w:numFmt w:val="decimal"/>
      <w:lvlText w:val="%1.%2.%3.%4.%5.%6"/>
      <w:lvlJc w:val="left"/>
      <w:pPr>
        <w:tabs>
          <w:tab w:val="num" w:pos="0"/>
        </w:tabs>
        <w:ind w:left="1080" w:hanging="1080"/>
      </w:pPr>
      <w:rPr>
        <w:b/>
        <w:rFonts w:ascii="Calibri Light" w:hAnsi="Calibri Light" w:cs="" w:asciiTheme="majorHAnsi" w:cstheme="majorBidi" w:hAnsiTheme="majorHAnsi"/>
        <w:color w:themeColor="accent1" w:themeShade="bf" w:val="2F5496"/>
      </w:rPr>
    </w:lvl>
    <w:lvl w:ilvl="6">
      <w:start w:val="1"/>
      <w:numFmt w:val="decimal"/>
      <w:lvlText w:val="%1.%2.%3.%4.%5.%6.%7"/>
      <w:lvlJc w:val="left"/>
      <w:pPr>
        <w:tabs>
          <w:tab w:val="num" w:pos="0"/>
        </w:tabs>
        <w:ind w:left="1440" w:hanging="1440"/>
      </w:pPr>
      <w:rPr>
        <w:b/>
        <w:rFonts w:ascii="Calibri Light" w:hAnsi="Calibri Light" w:cs="" w:asciiTheme="majorHAnsi" w:cstheme="majorBidi" w:hAnsiTheme="majorHAnsi"/>
        <w:color w:themeColor="accent1" w:themeShade="bf" w:val="2F5496"/>
      </w:rPr>
    </w:lvl>
    <w:lvl w:ilvl="7">
      <w:start w:val="1"/>
      <w:numFmt w:val="decimal"/>
      <w:lvlText w:val="%1.%2.%3.%4.%5.%6.%7.%8"/>
      <w:lvlJc w:val="left"/>
      <w:pPr>
        <w:tabs>
          <w:tab w:val="num" w:pos="0"/>
        </w:tabs>
        <w:ind w:left="1440" w:hanging="1440"/>
      </w:pPr>
      <w:rPr>
        <w:b/>
        <w:rFonts w:ascii="Calibri Light" w:hAnsi="Calibri Light" w:cs="" w:asciiTheme="majorHAnsi" w:cstheme="majorBidi" w:hAnsiTheme="majorHAnsi"/>
        <w:color w:themeColor="accent1" w:themeShade="bf" w:val="2F5496"/>
      </w:rPr>
    </w:lvl>
    <w:lvl w:ilvl="8">
      <w:start w:val="1"/>
      <w:numFmt w:val="decimal"/>
      <w:lvlText w:val="%1.%2.%3.%4.%5.%6.%7.%8.%9"/>
      <w:lvlJc w:val="left"/>
      <w:pPr>
        <w:tabs>
          <w:tab w:val="num" w:pos="0"/>
        </w:tabs>
        <w:ind w:left="1800" w:hanging="1800"/>
      </w:pPr>
      <w:rPr>
        <w:b/>
        <w:rFonts w:ascii="Calibri Light" w:hAnsi="Calibri Light" w:cs="" w:asciiTheme="majorHAnsi" w:cstheme="majorBidi" w:hAnsiTheme="majorHAnsi"/>
        <w:color w:themeColor="accent1" w:themeShade="bf" w:val="2F5496"/>
      </w:rPr>
    </w:lvl>
  </w:abstractNum>
  <w:abstractNum w:abstractNumId="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lvl w:ilvl="0">
      <w:start w:val="1"/>
      <w:numFmt w:val="decimal"/>
      <w:lvlText w:val="%1."/>
      <w:lvlJc w:val="left"/>
      <w:pPr>
        <w:tabs>
          <w:tab w:val="num" w:pos="720"/>
        </w:tabs>
        <w:ind w:left="72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
    <w:lvl w:ilvl="0">
      <w:start w:val="1"/>
      <w:numFmt w:val="decimal"/>
      <w:lvlText w:val="%1."/>
      <w:lvlJc w:val="left"/>
      <w:pPr>
        <w:tabs>
          <w:tab w:val="num" w:pos="720"/>
        </w:tabs>
        <w:ind w:left="72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
    <w:lvl w:ilvl="0">
      <w:start w:val="1"/>
      <w:numFmt w:val="decimal"/>
      <w:lvlText w:val="%1."/>
      <w:lvlJc w:val="left"/>
      <w:pPr>
        <w:tabs>
          <w:tab w:val="num" w:pos="720"/>
        </w:tabs>
        <w:ind w:left="72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5">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7">
    <w:lvl w:ilvl="0">
      <w:start w:val="1"/>
      <w:numFmt w:val="decimal"/>
      <w:lvlText w:val="%1."/>
      <w:lvlJc w:val="left"/>
      <w:pPr>
        <w:tabs>
          <w:tab w:val="num" w:pos="720"/>
        </w:tabs>
        <w:ind w:left="720" w:hanging="360"/>
      </w:pPr>
      <w:rPr/>
    </w:lvl>
    <w:lvl w:ilvl="1">
      <w:start w:val="1"/>
      <w:numFmt w:val="decimal"/>
      <w:lvlText w:val="%2."/>
      <w:lvlJc w:val="left"/>
      <w:pPr>
        <w:tabs>
          <w:tab w:val="num" w:pos="1440"/>
        </w:tabs>
        <w:ind w:left="1440" w:hanging="360"/>
      </w:pPr>
      <w:rPr/>
    </w:lvl>
    <w:lvl w:ilvl="2">
      <w:start w:val="1"/>
      <w:numFmt w:val="decimal"/>
      <w:lvlText w:val="%3."/>
      <w:lvlJc w:val="left"/>
      <w:pPr>
        <w:tabs>
          <w:tab w:val="num" w:pos="2160"/>
        </w:tabs>
        <w:ind w:left="2160" w:hanging="360"/>
      </w:pPr>
      <w:rPr/>
    </w:lvl>
    <w:lvl w:ilvl="3">
      <w:start w:val="1"/>
      <w:numFmt w:val="decimal"/>
      <w:lvlText w:val="%4."/>
      <w:lvlJc w:val="left"/>
      <w:pPr>
        <w:tabs>
          <w:tab w:val="num" w:pos="2880"/>
        </w:tabs>
        <w:ind w:left="2880" w:hanging="360"/>
      </w:pPr>
      <w:rPr/>
    </w:lvl>
    <w:lvl w:ilvl="4">
      <w:start w:val="1"/>
      <w:numFmt w:val="decimal"/>
      <w:lvlText w:val="%5."/>
      <w:lvlJc w:val="left"/>
      <w:pPr>
        <w:tabs>
          <w:tab w:val="num" w:pos="3600"/>
        </w:tabs>
        <w:ind w:left="3600" w:hanging="360"/>
      </w:pPr>
      <w:rPr/>
    </w:lvl>
    <w:lvl w:ilvl="5">
      <w:start w:val="1"/>
      <w:numFmt w:val="decimal"/>
      <w:lvlText w:val="%6."/>
      <w:lvlJc w:val="left"/>
      <w:pPr>
        <w:tabs>
          <w:tab w:val="num" w:pos="4320"/>
        </w:tabs>
        <w:ind w:left="4320" w:hanging="360"/>
      </w:pPr>
      <w:rPr/>
    </w:lvl>
    <w:lvl w:ilvl="6">
      <w:start w:val="1"/>
      <w:numFmt w:val="decimal"/>
      <w:lvlText w:val="%7."/>
      <w:lvlJc w:val="left"/>
      <w:pPr>
        <w:tabs>
          <w:tab w:val="num" w:pos="5040"/>
        </w:tabs>
        <w:ind w:left="5040" w:hanging="360"/>
      </w:pPr>
      <w:rPr/>
    </w:lvl>
    <w:lvl w:ilvl="7">
      <w:start w:val="1"/>
      <w:numFmt w:val="decimal"/>
      <w:lvlText w:val="%8."/>
      <w:lvlJc w:val="left"/>
      <w:pPr>
        <w:tabs>
          <w:tab w:val="num" w:pos="5760"/>
        </w:tabs>
        <w:ind w:left="5760" w:hanging="360"/>
      </w:pPr>
      <w:rPr/>
    </w:lvl>
    <w:lvl w:ilvl="8">
      <w:start w:val="1"/>
      <w:numFmt w:val="decimal"/>
      <w:lvlText w:val="%9."/>
      <w:lvlJc w:val="left"/>
      <w:pPr>
        <w:tabs>
          <w:tab w:val="num" w:pos="6480"/>
        </w:tabs>
        <w:ind w:left="6480" w:hanging="360"/>
      </w:pPr>
      <w:rPr/>
    </w:lvl>
  </w:abstractNum>
  <w:abstractNum w:abstractNumId="1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7">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5">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7">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4">
    <w:lvl w:ilvl="0">
      <w:start w:val="1"/>
      <w:numFmt w:val="bullet"/>
      <w:lvlText w:val=""/>
      <w:lvlJc w:val="left"/>
      <w:pPr>
        <w:tabs>
          <w:tab w:val="num" w:pos="720"/>
        </w:tabs>
        <w:ind w:left="720" w:hanging="360"/>
      </w:pPr>
      <w:rPr>
        <w:rFonts w:ascii="Symbol" w:hAnsi="Symbol" w:cs="Symbol" w:hint="default"/>
        <w:sz w:val="20"/>
      </w:rPr>
    </w:lvl>
    <w:lvl w:ilvl="1">
      <w:start w:val="13"/>
      <w:numFmt w:val="decimal"/>
      <w:lvlText w:val="%2."/>
      <w:lvlJc w:val="left"/>
      <w:pPr>
        <w:tabs>
          <w:tab w:val="num" w:pos="0"/>
        </w:tabs>
        <w:ind w:left="1440" w:hanging="360"/>
      </w:pPr>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5">
    <w:lvl w:ilvl="0">
      <w:start w:val="11"/>
      <w:numFmt w:val="decimal"/>
      <w:lvlText w:val="%1."/>
      <w:lvlJc w:val="left"/>
      <w:pPr>
        <w:tabs>
          <w:tab w:val="num" w:pos="0"/>
        </w:tabs>
        <w:ind w:left="720" w:hanging="360"/>
      </w:pPr>
      <w:rPr>
        <w:sz w:val="24"/>
        <w:b/>
        <w:rFonts w:ascii="Times New Roman" w:hAnsi="Times New Roman" w:cs="Times New Roman"/>
        <w:color w:themeColor="text1" w:val="000000"/>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bering>
</file>

<file path=word/settings.xml><?xml version="1.0" encoding="utf-8"?>
<w:settings xmlns:w="http://schemas.openxmlformats.org/wordprocessingml/2006/main">
  <w:zoom w:percent="140"/>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en-R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kern w:val="2"/>
        <w:sz w:val="24"/>
        <w:szCs w:val="24"/>
        <w:lang w:val="en-RS"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0466"/>
    <w:pPr>
      <w:widowControl/>
      <w:suppressAutoHyphens w:val="true"/>
      <w:bidi w:val="0"/>
      <w:spacing w:before="0" w:after="0"/>
      <w:jc w:val="left"/>
    </w:pPr>
    <w:rPr>
      <w:rFonts w:ascii="Times New Roman" w:hAnsi="Times New Roman" w:eastAsia="Times New Roman" w:cs="Times New Roman"/>
      <w:color w:val="auto"/>
      <w:kern w:val="0"/>
      <w:sz w:val="24"/>
      <w:szCs w:val="24"/>
      <w:lang w:val="en-RS" w:eastAsia="en-GB" w:bidi="ar-SA"/>
      <w14:ligatures w14:val="none"/>
    </w:rPr>
  </w:style>
  <w:style w:type="paragraph" w:styleId="Heading1">
    <w:name w:val="Heading 1"/>
    <w:basedOn w:val="Normal"/>
    <w:next w:val="Normal"/>
    <w:link w:val="Heading1Char"/>
    <w:uiPriority w:val="9"/>
    <w:qFormat/>
    <w:rsid w:val="00c34199"/>
    <w:pPr>
      <w:keepNext w:val="true"/>
      <w:keepLines/>
      <w:spacing w:before="240" w:after="0"/>
      <w:outlineLvl w:val="0"/>
    </w:pPr>
    <w:rPr>
      <w:rFonts w:ascii="Calibri Light" w:hAnsi="Calibri Light" w:eastAsia="" w:cs="" w:asciiTheme="majorHAnsi" w:cstheme="majorBidi" w:eastAsiaTheme="majorEastAsia" w:hAnsiTheme="majorHAnsi"/>
      <w:color w:themeColor="accent1" w:themeShade="bf" w:val="2F5496"/>
      <w:sz w:val="32"/>
      <w:szCs w:val="32"/>
    </w:rPr>
  </w:style>
  <w:style w:type="paragraph" w:styleId="Heading2">
    <w:name w:val="Heading 2"/>
    <w:basedOn w:val="Normal"/>
    <w:link w:val="Heading2Char"/>
    <w:uiPriority w:val="9"/>
    <w:qFormat/>
    <w:rsid w:val="00c34199"/>
    <w:pPr>
      <w:spacing w:beforeAutospacing="1" w:afterAutospacing="1"/>
      <w:outlineLvl w:val="1"/>
    </w:pPr>
    <w:rPr>
      <w:b/>
      <w:bCs/>
      <w:sz w:val="36"/>
      <w:szCs w:val="36"/>
    </w:rPr>
  </w:style>
  <w:style w:type="paragraph" w:styleId="Heading3">
    <w:name w:val="Heading 3"/>
    <w:basedOn w:val="Normal"/>
    <w:next w:val="Normal"/>
    <w:link w:val="Heading3Char"/>
    <w:uiPriority w:val="9"/>
    <w:unhideWhenUsed/>
    <w:qFormat/>
    <w:rsid w:val="00ea28ed"/>
    <w:pPr>
      <w:keepNext w:val="true"/>
      <w:keepLines/>
      <w:spacing w:before="40" w:after="0"/>
      <w:outlineLvl w:val="2"/>
    </w:pPr>
    <w:rPr>
      <w:rFonts w:ascii="Calibri Light" w:hAnsi="Calibri Light" w:eastAsia="" w:cs="" w:asciiTheme="majorHAnsi" w:cstheme="majorBidi" w:eastAsiaTheme="majorEastAsia" w:hAnsiTheme="majorHAnsi"/>
      <w:color w:themeColor="accent1" w:themeShade="7f" w:val="1F3763"/>
    </w:rPr>
  </w:style>
  <w:style w:type="character" w:styleId="DefaultParagraphFont" w:default="1">
    <w:name w:val="Default Paragraph Font"/>
    <w:uiPriority w:val="1"/>
    <w:semiHidden/>
    <w:unhideWhenUsed/>
    <w:qFormat/>
    <w:rPr/>
  </w:style>
  <w:style w:type="character" w:styleId="Heading2Char" w:customStyle="1">
    <w:name w:val="Heading 2 Char"/>
    <w:basedOn w:val="DefaultParagraphFont"/>
    <w:link w:val="Heading2"/>
    <w:uiPriority w:val="9"/>
    <w:qFormat/>
    <w:rsid w:val="00c34199"/>
    <w:rPr>
      <w:rFonts w:ascii="Times New Roman" w:hAnsi="Times New Roman" w:eastAsia="Times New Roman" w:cs="Times New Roman"/>
      <w:b/>
      <w:bCs/>
      <w:kern w:val="0"/>
      <w:sz w:val="36"/>
      <w:szCs w:val="36"/>
      <w:lang w:eastAsia="en-GB"/>
      <w14:ligatures w14:val="none"/>
    </w:rPr>
  </w:style>
  <w:style w:type="character" w:styleId="Strong">
    <w:name w:val="Strong"/>
    <w:basedOn w:val="DefaultParagraphFont"/>
    <w:uiPriority w:val="22"/>
    <w:qFormat/>
    <w:rsid w:val="00c34199"/>
    <w:rPr>
      <w:b/>
      <w:bCs/>
    </w:rPr>
  </w:style>
  <w:style w:type="character" w:styleId="Heading1Char" w:customStyle="1">
    <w:name w:val="Heading 1 Char"/>
    <w:basedOn w:val="DefaultParagraphFont"/>
    <w:link w:val="Heading1"/>
    <w:uiPriority w:val="9"/>
    <w:qFormat/>
    <w:rsid w:val="00c34199"/>
    <w:rPr>
      <w:rFonts w:ascii="Calibri Light" w:hAnsi="Calibri Light" w:eastAsia="" w:cs="" w:asciiTheme="majorHAnsi" w:cstheme="majorBidi" w:eastAsiaTheme="majorEastAsia" w:hAnsiTheme="majorHAnsi"/>
      <w:color w:themeColor="accent1" w:themeShade="bf" w:val="2F5496"/>
      <w:sz w:val="32"/>
      <w:szCs w:val="32"/>
    </w:rPr>
  </w:style>
  <w:style w:type="character" w:styleId="Emphasis">
    <w:name w:val="Emphasis"/>
    <w:basedOn w:val="DefaultParagraphFont"/>
    <w:uiPriority w:val="20"/>
    <w:qFormat/>
    <w:rsid w:val="008c3b10"/>
    <w:rPr>
      <w:i/>
      <w:iCs/>
    </w:rPr>
  </w:style>
  <w:style w:type="character" w:styleId="FooterChar" w:customStyle="1">
    <w:name w:val="Footer Char"/>
    <w:basedOn w:val="DefaultParagraphFont"/>
    <w:link w:val="Footer"/>
    <w:uiPriority w:val="99"/>
    <w:qFormat/>
    <w:rsid w:val="00ea28ed"/>
    <w:rPr/>
  </w:style>
  <w:style w:type="character" w:styleId="Pagenumber">
    <w:name w:val="page number"/>
    <w:basedOn w:val="DefaultParagraphFont"/>
    <w:uiPriority w:val="99"/>
    <w:semiHidden/>
    <w:unhideWhenUsed/>
    <w:qFormat/>
    <w:rsid w:val="00ea28ed"/>
    <w:rPr/>
  </w:style>
  <w:style w:type="character" w:styleId="Heading3Char" w:customStyle="1">
    <w:name w:val="Heading 3 Char"/>
    <w:basedOn w:val="DefaultParagraphFont"/>
    <w:link w:val="Heading3"/>
    <w:uiPriority w:val="9"/>
    <w:qFormat/>
    <w:rsid w:val="00ea28ed"/>
    <w:rPr>
      <w:rFonts w:ascii="Calibri Light" w:hAnsi="Calibri Light" w:eastAsia="" w:cs="" w:asciiTheme="majorHAnsi" w:cstheme="majorBidi" w:eastAsiaTheme="majorEastAsia" w:hAnsiTheme="majorHAnsi"/>
      <w:color w:themeColor="accent1" w:themeShade="7f" w:val="1F3763"/>
    </w:rPr>
  </w:style>
  <w:style w:type="character" w:styleId="HeaderChar" w:customStyle="1">
    <w:name w:val="Header Char"/>
    <w:basedOn w:val="DefaultParagraphFont"/>
    <w:link w:val="Header"/>
    <w:uiPriority w:val="99"/>
    <w:qFormat/>
    <w:rsid w:val="00683c62"/>
    <w:rPr/>
  </w:style>
  <w:style w:type="character" w:styleId="Hyperlink">
    <w:name w:val="Hyperlink"/>
    <w:basedOn w:val="DefaultParagraphFont"/>
    <w:uiPriority w:val="99"/>
    <w:unhideWhenUsed/>
    <w:rsid w:val="006141f0"/>
    <w:rPr>
      <w:color w:themeColor="hyperlink" w:val="0563C1"/>
      <w:u w:val="single"/>
    </w:rPr>
  </w:style>
  <w:style w:type="character" w:styleId="UnresolvedMention">
    <w:name w:val="Unresolved Mention"/>
    <w:basedOn w:val="DefaultParagraphFont"/>
    <w:uiPriority w:val="99"/>
    <w:semiHidden/>
    <w:unhideWhenUsed/>
    <w:qFormat/>
    <w:rsid w:val="006141f0"/>
    <w:rPr>
      <w:color w:val="605E5C"/>
      <w:shd w:fill="E1DFDD" w:val="clear"/>
    </w:rPr>
  </w:style>
  <w:style w:type="paragraph" w:styleId="Heading" w:customStyle="1">
    <w:name w:val="Heading"/>
    <w:basedOn w:val="Normal"/>
    <w:next w:val="BodyText"/>
    <w:qFormat/>
    <w:pPr>
      <w:keepNext w:val="true"/>
      <w:spacing w:before="240" w:after="120"/>
    </w:pPr>
    <w:rPr>
      <w:rFonts w:eastAsia="Noto Sans CJK SC" w:cs="Lohit Devanagari"/>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ascii="Times New Roman" w:hAnsi="Times New Roman" w:cs="Lohit Devanagari"/>
      <w:i/>
      <w:iCs/>
      <w:sz w:val="24"/>
      <w:szCs w:val="24"/>
    </w:rPr>
  </w:style>
  <w:style w:type="paragraph" w:styleId="Index" w:customStyle="1">
    <w:name w:val="Index"/>
    <w:basedOn w:val="Normal"/>
    <w:qFormat/>
    <w:pPr>
      <w:suppressLineNumbers/>
    </w:pPr>
    <w:rPr>
      <w:rFonts w:cs="Lohit Devanagari"/>
    </w:rPr>
  </w:style>
  <w:style w:type="paragraph" w:styleId="Caption1">
    <w:name w:val="caption1"/>
    <w:basedOn w:val="Normal"/>
    <w:qFormat/>
    <w:pPr>
      <w:suppressLineNumbers/>
      <w:spacing w:before="120" w:after="120"/>
    </w:pPr>
    <w:rPr>
      <w:rFonts w:cs="Lohit Devanagari"/>
      <w:i/>
      <w:iCs/>
    </w:rPr>
  </w:style>
  <w:style w:type="paragraph" w:styleId="NormalWeb">
    <w:name w:val="Normal (Web)"/>
    <w:basedOn w:val="Normal"/>
    <w:uiPriority w:val="99"/>
    <w:unhideWhenUsed/>
    <w:qFormat/>
    <w:rsid w:val="00c34199"/>
    <w:pPr>
      <w:spacing w:beforeAutospacing="1" w:afterAutospacing="1"/>
    </w:pPr>
    <w:rPr/>
  </w:style>
  <w:style w:type="paragraph" w:styleId="ListParagraph">
    <w:name w:val="List Paragraph"/>
    <w:basedOn w:val="Normal"/>
    <w:uiPriority w:val="34"/>
    <w:qFormat/>
    <w:rsid w:val="00c34199"/>
    <w:pPr>
      <w:spacing w:before="0" w:after="0"/>
      <w:ind w:hanging="0" w:left="720"/>
      <w:contextualSpacing/>
    </w:pPr>
    <w:rPr/>
  </w:style>
  <w:style w:type="paragraph" w:styleId="HeaderandFooter" w:customStyle="1">
    <w:name w:val="Header and Footer"/>
    <w:basedOn w:val="Normal"/>
    <w:qFormat/>
    <w:pPr/>
    <w:rPr/>
  </w:style>
  <w:style w:type="paragraph" w:styleId="Footer">
    <w:name w:val="Footer"/>
    <w:basedOn w:val="Normal"/>
    <w:link w:val="FooterChar"/>
    <w:uiPriority w:val="99"/>
    <w:unhideWhenUsed/>
    <w:rsid w:val="00ea28ed"/>
    <w:pPr>
      <w:tabs>
        <w:tab w:val="clear" w:pos="720"/>
        <w:tab w:val="center" w:pos="4513" w:leader="none"/>
        <w:tab w:val="right" w:pos="9026" w:leader="none"/>
      </w:tabs>
    </w:pPr>
    <w:rPr/>
  </w:style>
  <w:style w:type="paragraph" w:styleId="Header">
    <w:name w:val="Header"/>
    <w:basedOn w:val="Normal"/>
    <w:link w:val="HeaderChar"/>
    <w:uiPriority w:val="99"/>
    <w:unhideWhenUsed/>
    <w:rsid w:val="00683c62"/>
    <w:pPr>
      <w:tabs>
        <w:tab w:val="clear" w:pos="720"/>
        <w:tab w:val="center" w:pos="4513" w:leader="none"/>
        <w:tab w:val="right" w:pos="9026" w:leader="none"/>
      </w:tabs>
    </w:pPr>
    <w:rPr/>
  </w:style>
  <w:style w:type="paragraph" w:styleId="IndexHeading">
    <w:name w:val="Index Heading"/>
    <w:basedOn w:val="Heading"/>
    <w:pPr/>
    <w:rPr/>
  </w:style>
  <w:style w:type="paragraph" w:styleId="TOCHeading">
    <w:name w:val="TOC Heading"/>
    <w:basedOn w:val="Heading1"/>
    <w:next w:val="Normal"/>
    <w:uiPriority w:val="39"/>
    <w:unhideWhenUsed/>
    <w:qFormat/>
    <w:rsid w:val="006141f0"/>
    <w:pPr>
      <w:suppressAutoHyphens w:val="false"/>
      <w:spacing w:lineRule="auto" w:line="276" w:before="480" w:after="0"/>
      <w:outlineLvl w:val="9"/>
    </w:pPr>
    <w:rPr>
      <w:b/>
      <w:bCs/>
      <w:sz w:val="28"/>
      <w:szCs w:val="28"/>
      <w:lang w:val="en-US" w:eastAsia="en-US"/>
    </w:rPr>
  </w:style>
  <w:style w:type="paragraph" w:styleId="TOC2">
    <w:name w:val="TOC 2"/>
    <w:basedOn w:val="Normal"/>
    <w:next w:val="Normal"/>
    <w:autoRedefine/>
    <w:uiPriority w:val="39"/>
    <w:unhideWhenUsed/>
    <w:rsid w:val="006141f0"/>
    <w:pPr/>
    <w:rPr>
      <w:rFonts w:ascii="Calibri" w:hAnsi="Calibri" w:cs="Calibri" w:asciiTheme="minorHAnsi" w:cstheme="minorHAnsi" w:hAnsiTheme="minorHAnsi"/>
      <w:b/>
      <w:bCs/>
      <w:smallCaps/>
      <w:sz w:val="22"/>
      <w:szCs w:val="22"/>
    </w:rPr>
  </w:style>
  <w:style w:type="paragraph" w:styleId="TOC1">
    <w:name w:val="TOC 1"/>
    <w:basedOn w:val="Normal"/>
    <w:next w:val="Normal"/>
    <w:autoRedefine/>
    <w:uiPriority w:val="39"/>
    <w:unhideWhenUsed/>
    <w:rsid w:val="006141f0"/>
    <w:pPr>
      <w:tabs>
        <w:tab w:val="clear" w:pos="720"/>
        <w:tab w:val="left" w:pos="480" w:leader="none"/>
        <w:tab w:val="right" w:pos="9016" w:leader="dot"/>
      </w:tabs>
      <w:spacing w:before="360" w:after="360"/>
    </w:pPr>
    <w:rPr>
      <w:rFonts w:ascii="Calibri" w:hAnsi="Calibri" w:cs="Calibri" w:asciiTheme="minorHAnsi" w:cstheme="minorHAnsi" w:hAnsiTheme="minorHAnsi"/>
      <w:b/>
      <w:bCs/>
      <w:caps/>
      <w:sz w:val="20"/>
      <w:szCs w:val="20"/>
      <w:u w:val="single"/>
      <w:lang w:val="sr-RS"/>
    </w:rPr>
  </w:style>
  <w:style w:type="paragraph" w:styleId="TOC3">
    <w:name w:val="TOC 3"/>
    <w:basedOn w:val="Normal"/>
    <w:next w:val="Normal"/>
    <w:autoRedefine/>
    <w:uiPriority w:val="39"/>
    <w:unhideWhenUsed/>
    <w:rsid w:val="006141f0"/>
    <w:pPr/>
    <w:rPr>
      <w:rFonts w:ascii="Calibri" w:hAnsi="Calibri" w:cs="Calibri" w:asciiTheme="minorHAnsi" w:cstheme="minorHAnsi" w:hAnsiTheme="minorHAnsi"/>
      <w:smallCaps/>
      <w:sz w:val="22"/>
      <w:szCs w:val="22"/>
    </w:rPr>
  </w:style>
  <w:style w:type="paragraph" w:styleId="TOC4">
    <w:name w:val="TOC 4"/>
    <w:basedOn w:val="Normal"/>
    <w:next w:val="Normal"/>
    <w:autoRedefine/>
    <w:uiPriority w:val="39"/>
    <w:unhideWhenUsed/>
    <w:rsid w:val="006141f0"/>
    <w:pPr/>
    <w:rPr>
      <w:rFonts w:ascii="Calibri" w:hAnsi="Calibri" w:cs="Calibri" w:asciiTheme="minorHAnsi" w:cstheme="minorHAnsi" w:hAnsiTheme="minorHAnsi"/>
      <w:sz w:val="22"/>
      <w:szCs w:val="22"/>
    </w:rPr>
  </w:style>
  <w:style w:type="paragraph" w:styleId="TOC5">
    <w:name w:val="TOC 5"/>
    <w:basedOn w:val="Normal"/>
    <w:next w:val="Normal"/>
    <w:autoRedefine/>
    <w:uiPriority w:val="39"/>
    <w:unhideWhenUsed/>
    <w:rsid w:val="006141f0"/>
    <w:pPr/>
    <w:rPr>
      <w:rFonts w:ascii="Calibri" w:hAnsi="Calibri" w:cs="Calibri" w:asciiTheme="minorHAnsi" w:cstheme="minorHAnsi" w:hAnsiTheme="minorHAnsi"/>
      <w:sz w:val="22"/>
      <w:szCs w:val="22"/>
    </w:rPr>
  </w:style>
  <w:style w:type="paragraph" w:styleId="TOC6">
    <w:name w:val="TOC 6"/>
    <w:basedOn w:val="Normal"/>
    <w:next w:val="Normal"/>
    <w:autoRedefine/>
    <w:uiPriority w:val="39"/>
    <w:unhideWhenUsed/>
    <w:rsid w:val="006141f0"/>
    <w:pPr/>
    <w:rPr>
      <w:rFonts w:ascii="Calibri" w:hAnsi="Calibri" w:cs="Calibri" w:asciiTheme="minorHAnsi" w:cstheme="minorHAnsi" w:hAnsiTheme="minorHAnsi"/>
      <w:sz w:val="22"/>
      <w:szCs w:val="22"/>
    </w:rPr>
  </w:style>
  <w:style w:type="paragraph" w:styleId="TOC7">
    <w:name w:val="TOC 7"/>
    <w:basedOn w:val="Normal"/>
    <w:next w:val="Normal"/>
    <w:autoRedefine/>
    <w:uiPriority w:val="39"/>
    <w:unhideWhenUsed/>
    <w:rsid w:val="006141f0"/>
    <w:pPr/>
    <w:rPr>
      <w:rFonts w:ascii="Calibri" w:hAnsi="Calibri" w:cs="Calibri" w:asciiTheme="minorHAnsi" w:cstheme="minorHAnsi" w:hAnsiTheme="minorHAnsi"/>
      <w:sz w:val="22"/>
      <w:szCs w:val="22"/>
    </w:rPr>
  </w:style>
  <w:style w:type="paragraph" w:styleId="TOC8">
    <w:name w:val="TOC 8"/>
    <w:basedOn w:val="Normal"/>
    <w:next w:val="Normal"/>
    <w:autoRedefine/>
    <w:uiPriority w:val="39"/>
    <w:unhideWhenUsed/>
    <w:rsid w:val="006141f0"/>
    <w:pPr/>
    <w:rPr>
      <w:rFonts w:ascii="Calibri" w:hAnsi="Calibri" w:cs="Calibri" w:asciiTheme="minorHAnsi" w:cstheme="minorHAnsi" w:hAnsiTheme="minorHAnsi"/>
      <w:sz w:val="22"/>
      <w:szCs w:val="22"/>
    </w:rPr>
  </w:style>
  <w:style w:type="paragraph" w:styleId="TOC9">
    <w:name w:val="TOC 9"/>
    <w:basedOn w:val="Normal"/>
    <w:next w:val="Normal"/>
    <w:autoRedefine/>
    <w:uiPriority w:val="39"/>
    <w:unhideWhenUsed/>
    <w:rsid w:val="006141f0"/>
    <w:pPr/>
    <w:rPr>
      <w:rFonts w:ascii="Calibri" w:hAnsi="Calibri" w:cs="Calibri" w:asciiTheme="minorHAnsi" w:cstheme="minorHAnsi" w:hAnsiTheme="minorHAnsi"/>
      <w:sz w:val="22"/>
      <w:szCs w:val="22"/>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GridTable1Light-Accent1">
    <w:name w:val="Grid Table 1 Light Accent 1"/>
    <w:basedOn w:val="TableNormal"/>
    <w:uiPriority w:val="46"/>
    <w:rsid w:val="006872f7"/>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4472C4" w:themeColor="accent1" w:sz="12" w:space="0"/>
        </w:tcBorders>
      </w:tcPr>
    </w:tblStylePr>
    <w:tblStylePr w:type="lastRow">
      <w:rPr>
        <w:b/>
        <w:bCs/>
      </w:rPr>
      <w:tblPr/>
      <w:tcPr>
        <w:tcBorders>
          <w:top w:val="double" w:color="4472C4" w:themeColor="accent1" w:sz="2" w:space="0"/>
        </w:tcBorders>
      </w:tcPr>
    </w:tblStylePr>
    <w:tblStylePr w:type="firstCol">
      <w:rPr>
        <w:b/>
        <w:bCs/>
      </w:rPr>
      <w:tblPr/>
    </w:tblStylePr>
    <w:tblStylePr w:type="lastCol">
      <w:rPr>
        <w:b/>
        <w:bCs/>
      </w:rPr>
      <w:tblPr/>
    </w:tblStylePr>
  </w:style>
  <w:style w:type="table" w:styleId="GridTable4-Accent1">
    <w:name w:val="Grid Table 4 Accent 1"/>
    <w:basedOn w:val="TableNormal"/>
    <w:uiPriority w:val="49"/>
    <w:rsid w:val="006872f7"/>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Pr/>
    </w:tblStylePr>
    <w:tblStylePr w:type="lastCol">
      <w:rPr>
        <w:b/>
        <w:bCs/>
      </w:rPr>
      <w:tbl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Grid">
    <w:name w:val="Table Grid"/>
    <w:basedOn w:val="TableNormal"/>
    <w:uiPriority w:val="39"/>
    <w:rsid w:val="007a5d7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gif"/><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chart" Target="charts/chart1.xml"/><Relationship Id="rId6" Type="http://schemas.openxmlformats.org/officeDocument/2006/relationships/chart" Target="charts/chart2.xml"/><Relationship Id="rId7" Type="http://schemas.openxmlformats.org/officeDocument/2006/relationships/chart" Target="charts/chart3.xml"/><Relationship Id="rId8" Type="http://schemas.openxmlformats.org/officeDocument/2006/relationships/chart" Target="charts/chart4.xml"/><Relationship Id="rId9" Type="http://schemas.openxmlformats.org/officeDocument/2006/relationships/chart" Target="charts/chart5.xml"/><Relationship Id="rId10" Type="http://schemas.openxmlformats.org/officeDocument/2006/relationships/chart" Target="charts/chart6.xml"/><Relationship Id="rId11" Type="http://schemas.openxmlformats.org/officeDocument/2006/relationships/chart" Target="charts/chart7.xm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footer" Target="footer3.xml"/><Relationship Id="rId16" Type="http://schemas.openxmlformats.org/officeDocument/2006/relationships/numbering" Target="numbering.xml"/><Relationship Id="rId17" Type="http://schemas.openxmlformats.org/officeDocument/2006/relationships/fontTable" Target="fontTable.xml"/><Relationship Id="rId18" Type="http://schemas.openxmlformats.org/officeDocument/2006/relationships/settings" Target="settings.xml"/><Relationship Id="rId19" Type="http://schemas.openxmlformats.org/officeDocument/2006/relationships/theme" Target="theme/theme1.xml"/><Relationship Id="rId20" Type="http://schemas.openxmlformats.org/officeDocument/2006/relationships/customXml" Target="../customXml/item1.xml"/>
</Relationships>
</file>

<file path=word/charts/_rels/chart1.xml.rels><?xml version="1.0" encoding="UTF-8"?>
<Relationships xmlns="http://schemas.openxmlformats.org/package/2006/relationships"><Relationship Id="rId1" Type="http://schemas.openxmlformats.org/officeDocument/2006/relationships/package" Target="../embeddings/Microsoft_Excel_Worksheet.xlsx"/>
</Relationships>
</file>

<file path=word/charts/_rels/chart2.xml.rels><?xml version="1.0" encoding="UTF-8"?>
<Relationships xmlns="http://schemas.openxmlformats.org/package/2006/relationships"><Relationship Id="rId1" Type="http://schemas.openxmlformats.org/officeDocument/2006/relationships/package" Target="../embeddings/Microsoft_Excel_Worksheet1.xlsx"/>
</Relationships>
</file>

<file path=word/charts/_rels/chart3.xml.rels><?xml version="1.0" encoding="UTF-8"?>
<Relationships xmlns="http://schemas.openxmlformats.org/package/2006/relationships"><Relationship Id="rId1" Type="http://schemas.openxmlformats.org/officeDocument/2006/relationships/package" Target="../embeddings/Microsoft_Excel_Worksheet2.xlsx"/>
</Relationships>
</file>

<file path=word/charts/_rels/chart4.xml.rels><?xml version="1.0" encoding="UTF-8"?>
<Relationships xmlns="http://schemas.openxmlformats.org/package/2006/relationships"><Relationship Id="rId1" Type="http://schemas.openxmlformats.org/officeDocument/2006/relationships/package" Target="../embeddings/Microsoft_Excel_Worksheet3.xlsx"/>
</Relationships>
</file>

<file path=word/charts/_rels/chart5.xml.rels><?xml version="1.0" encoding="UTF-8"?>
<Relationships xmlns="http://schemas.openxmlformats.org/package/2006/relationships"><Relationship Id="rId1" Type="http://schemas.openxmlformats.org/officeDocument/2006/relationships/package" Target="../embeddings/Microsoft_Excel_Worksheet4.xlsx"/>
</Relationships>
</file>

<file path=word/charts/_rels/chart6.xml.rels><?xml version="1.0" encoding="UTF-8"?>
<Relationships xmlns="http://schemas.openxmlformats.org/package/2006/relationships"><Relationship Id="rId1" Type="http://schemas.openxmlformats.org/officeDocument/2006/relationships/package" Target="../embeddings/Microsoft_Excel_Worksheet5.xlsx"/>
</Relationships>
</file>

<file path=word/charts/_rels/chart7.xml.rels><?xml version="1.0" encoding="UTF-8"?>
<Relationships xmlns="http://schemas.openxmlformats.org/package/2006/relationships"><Relationship Id="rId1" Type="http://schemas.openxmlformats.org/officeDocument/2006/relationships/package" Target="../embeddings/Microsoft_Excel_Worksheet6.xlsx"/>
</Relationships>
</file>

<file path=word/charts/chart1.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Број становника</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Број становника</c:v>
                </c:pt>
              </c:strCache>
            </c:strRef>
          </c:tx>
          <c:spPr>
            <a:solidFill>
              <a:srgbClr val="4472c4"/>
            </a:solidFill>
            <a:ln w="0">
              <a:noFill/>
            </a:ln>
          </c:spPr>
          <c:explosion val="0"/>
          <c:dPt>
            <c:idx val="0"/>
            <c:spPr>
              <a:solidFill>
                <a:srgbClr val="4472c4"/>
              </a:solidFill>
              <a:ln w="25560">
                <a:solidFill>
                  <a:srgbClr val="ffffff"/>
                </a:solidFill>
                <a:round/>
              </a:ln>
            </c:spPr>
          </c:dPt>
          <c:dPt>
            <c:idx val="1"/>
            <c:spPr>
              <a:solidFill>
                <a:srgbClr val="ed7d31"/>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Pt>
            <c:idx val="4"/>
            <c:spPr>
              <a:solidFill>
                <a:srgbClr val="5b9bd5"/>
              </a:solidFill>
              <a:ln w="25560">
                <a:solidFill>
                  <a:srgbClr val="ffffff"/>
                </a:solidFill>
                <a:round/>
              </a:ln>
            </c:spPr>
          </c:dPt>
          <c:dPt>
            <c:idx val="5"/>
            <c:spPr>
              <a:solidFill>
                <a:srgbClr val="70ad47"/>
              </a:solidFill>
              <a:ln w="25560">
                <a:solidFill>
                  <a:srgbClr val="ffffff"/>
                </a:solidFill>
                <a:round/>
              </a:ln>
            </c:spPr>
          </c:dPt>
          <c:dPt>
            <c:idx val="6"/>
            <c:spPr>
              <a:solidFill>
                <a:srgbClr val="264478"/>
              </a:solidFill>
              <a:ln w="25560">
                <a:solidFill>
                  <a:srgbClr val="ffffff"/>
                </a:solidFill>
                <a:round/>
              </a:ln>
            </c:spPr>
          </c:dPt>
          <c:dPt>
            <c:idx val="7"/>
            <c:spPr>
              <a:solidFill>
                <a:srgbClr val="9e480e"/>
              </a:solidFill>
              <a:ln w="25560">
                <a:solidFill>
                  <a:srgbClr val="ffffff"/>
                </a:solidFill>
                <a:round/>
              </a:ln>
            </c:spPr>
          </c:dPt>
          <c:dPt>
            <c:idx val="8"/>
            <c:spPr>
              <a:solidFill>
                <a:srgbClr val="636363"/>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4"/>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5"/>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6"/>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7"/>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8"/>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9"/>
                <c:pt idx="0">
                  <c:v>0–9</c:v>
                </c:pt>
                <c:pt idx="1">
                  <c:v>10–19</c:v>
                </c:pt>
                <c:pt idx="2">
                  <c:v>20–29</c:v>
                </c:pt>
                <c:pt idx="3">
                  <c:v>30–39</c:v>
                </c:pt>
                <c:pt idx="4">
                  <c:v>40–49</c:v>
                </c:pt>
                <c:pt idx="5">
                  <c:v>50–59</c:v>
                </c:pt>
                <c:pt idx="6">
                  <c:v>60–69</c:v>
                </c:pt>
                <c:pt idx="7">
                  <c:v>70–79</c:v>
                </c:pt>
                <c:pt idx="8">
                  <c:v>80+</c:v>
                </c:pt>
              </c:strCache>
            </c:strRef>
          </c:cat>
          <c:val>
            <c:numRef>
              <c:f>0</c:f>
              <c:numCache>
                <c:formatCode>General</c:formatCode>
                <c:ptCount val="9"/>
                <c:pt idx="0">
                  <c:v>1352</c:v>
                </c:pt>
                <c:pt idx="1">
                  <c:v>1464</c:v>
                </c:pt>
                <c:pt idx="2">
                  <c:v>1442</c:v>
                </c:pt>
                <c:pt idx="3">
                  <c:v>1586</c:v>
                </c:pt>
                <c:pt idx="4">
                  <c:v>1824</c:v>
                </c:pt>
                <c:pt idx="5">
                  <c:v>2094</c:v>
                </c:pt>
                <c:pt idx="6">
                  <c:v>2284</c:v>
                </c:pt>
                <c:pt idx="7">
                  <c:v>1313</c:v>
                </c:pt>
                <c:pt idx="8">
                  <c:v>546</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Наталитет и морталитет</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Број</c:v>
                </c:pt>
              </c:strCache>
            </c:strRef>
          </c:tx>
          <c:spPr>
            <a:solidFill>
              <a:srgbClr val="4472c4"/>
            </a:solidFill>
            <a:ln w="0">
              <a:noFill/>
            </a:ln>
          </c:spPr>
          <c:explosion val="0"/>
          <c:dPt>
            <c:idx val="0"/>
            <c:spPr>
              <a:solidFill>
                <a:srgbClr val="4472c4"/>
              </a:solidFill>
              <a:ln w="25560">
                <a:solidFill>
                  <a:srgbClr val="ffffff"/>
                </a:solidFill>
                <a:round/>
              </a:ln>
            </c:spPr>
          </c:dPt>
          <c:dPt>
            <c:idx val="1"/>
            <c:spPr>
              <a:solidFill>
                <a:srgbClr val="ed7d31"/>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Pt>
            <c:idx val="4"/>
            <c:spPr>
              <a:solidFill>
                <a:srgbClr val="5b9bd5"/>
              </a:solidFill>
              <a:ln w="25560">
                <a:solidFill>
                  <a:srgbClr val="ffffff"/>
                </a:solidFill>
                <a:round/>
              </a:ln>
            </c:spPr>
          </c:dPt>
          <c:dPt>
            <c:idx val="5"/>
            <c:spPr>
              <a:solidFill>
                <a:srgbClr val="70ad47"/>
              </a:solidFill>
              <a:ln w="25560">
                <a:solidFill>
                  <a:srgbClr val="ffffff"/>
                </a:solidFill>
                <a:round/>
              </a:ln>
            </c:spPr>
          </c:dPt>
          <c:dPt>
            <c:idx val="6"/>
            <c:spPr>
              <a:solidFill>
                <a:srgbClr val="264478"/>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4"/>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5"/>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6"/>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7"/>
                <c:pt idx="0">
                  <c:v>Укупно рођених (5 година)</c:v>
                </c:pt>
                <c:pt idx="1">
                  <c:v>Укупно умрлих (5 година)</c:v>
                </c:pt>
                <c:pt idx="2">
                  <c:v>Просек рођених годишње</c:v>
                </c:pt>
                <c:pt idx="3">
                  <c:v>Просек умрлих годишње</c:v>
                </c:pt>
                <c:pt idx="4">
                  <c:v>Склопљени бракови годишње</c:v>
                </c:pt>
                <c:pt idx="5">
                  <c:v>Разведени бракови годишње</c:v>
                </c:pt>
                <c:pt idx="6">
                  <c:v>Породице са дечјим додатком</c:v>
                </c:pt>
              </c:strCache>
            </c:strRef>
          </c:cat>
          <c:val>
            <c:numRef>
              <c:f>0</c:f>
              <c:numCache>
                <c:formatCode>General</c:formatCode>
                <c:ptCount val="7"/>
                <c:pt idx="0">
                  <c:v>542</c:v>
                </c:pt>
                <c:pt idx="1">
                  <c:v>449</c:v>
                </c:pt>
                <c:pt idx="2">
                  <c:v>0</c:v>
                </c:pt>
                <c:pt idx="3">
                  <c:v>0</c:v>
                </c:pt>
                <c:pt idx="4">
                  <c:v>235</c:v>
                </c:pt>
                <c:pt idx="5">
                  <c:v>107</c:v>
                </c:pt>
                <c:pt idx="6">
                  <c:v>141</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Миграције</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Број</c:v>
                </c:pt>
              </c:strCache>
            </c:strRef>
          </c:tx>
          <c:spPr>
            <a:solidFill>
              <a:srgbClr val="4472c4"/>
            </a:solidFill>
            <a:ln w="0">
              <a:noFill/>
            </a:ln>
          </c:spPr>
          <c:explosion val="0"/>
          <c:dPt>
            <c:idx val="0"/>
            <c:spPr>
              <a:solidFill>
                <a:srgbClr val="4472c4"/>
              </a:solidFill>
              <a:ln w="25560">
                <a:solidFill>
                  <a:srgbClr val="ffffff"/>
                </a:solidFill>
                <a:round/>
              </a:ln>
            </c:spPr>
          </c:dPt>
          <c:dPt>
            <c:idx val="1"/>
            <c:spPr>
              <a:solidFill>
                <a:srgbClr val="ed7d31"/>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4"/>
                <c:pt idx="0">
                  <c:v>Досељени</c:v>
                </c:pt>
                <c:pt idx="1">
                  <c:v>Одсељени</c:v>
                </c:pt>
                <c:pt idx="2">
                  <c:v/>
                </c:pt>
                <c:pt idx="3">
                  <c:v/>
                </c:pt>
              </c:strCache>
            </c:strRef>
          </c:cat>
          <c:val>
            <c:numRef>
              <c:f>0</c:f>
              <c:numCache>
                <c:formatCode>General</c:formatCode>
                <c:ptCount val="4"/>
                <c:pt idx="0">
                  <c:v>415</c:v>
                </c:pt>
                <c:pt idx="1">
                  <c:v>353</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Породична структура и социјални показатељи</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254</c:v>
                </c:pt>
              </c:strCache>
            </c:strRef>
          </c:tx>
          <c:spPr>
            <a:solidFill>
              <a:srgbClr val="4472c4"/>
            </a:solidFill>
            <a:ln w="0">
              <a:noFill/>
            </a:ln>
          </c:spPr>
          <c:explosion val="0"/>
          <c:dPt>
            <c:idx val="0"/>
            <c:spPr>
              <a:solidFill>
                <a:srgbClr val="4472c4"/>
              </a:solidFill>
              <a:ln w="25560">
                <a:solidFill>
                  <a:srgbClr val="ffffff"/>
                </a:solidFill>
                <a:round/>
              </a:ln>
            </c:spPr>
          </c:dPt>
          <c:dPt>
            <c:idx val="1"/>
            <c:spPr>
              <a:solidFill>
                <a:srgbClr val="ed7d31"/>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4"/>
                <c:pt idx="0">
                  <c:v>Самохрани родитељи</c:v>
                </c:pt>
                <c:pt idx="1">
                  <c:v>Млади до 35 година који живе са родитељима</c:v>
                </c:pt>
                <c:pt idx="2">
                  <c:v>Породице — корисници социјалне помоћи</c:v>
                </c:pt>
                <c:pt idx="3">
                  <c:v>Појединци — корисници социјалне помоћи</c:v>
                </c:pt>
              </c:strCache>
            </c:strRef>
          </c:cat>
          <c:val>
            <c:numRef>
              <c:f>0</c:f>
              <c:numCache>
                <c:formatCode>General</c:formatCode>
                <c:ptCount val="4"/>
                <c:pt idx="0">
                  <c:v>812</c:v>
                </c:pt>
                <c:pt idx="1">
                  <c:v>520</c:v>
                </c:pt>
                <c:pt idx="2">
                  <c:v>150</c:v>
                </c:pt>
                <c:pt idx="3">
                  <c:v>339</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полна структура</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 учешћа</c:v>
                </c:pt>
              </c:strCache>
            </c:strRef>
          </c:tx>
          <c:spPr>
            <a:solidFill>
              <a:srgbClr val="4472c4"/>
            </a:solidFill>
            <a:ln w="0">
              <a:noFill/>
            </a:ln>
          </c:spPr>
          <c:explosion val="0"/>
          <c:dPt>
            <c:idx val="0"/>
            <c:spPr>
              <a:solidFill>
                <a:srgbClr val="ed7d31"/>
              </a:solidFill>
              <a:ln w="25560">
                <a:solidFill>
                  <a:srgbClr val="ffffff"/>
                </a:solidFill>
                <a:round/>
              </a:ln>
            </c:spPr>
          </c:dPt>
          <c:dPt>
            <c:idx val="1"/>
            <c:spPr>
              <a:solidFill>
                <a:srgbClr val="4472c4"/>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4"/>
                <c:pt idx="0">
                  <c:v>Жене</c:v>
                </c:pt>
                <c:pt idx="1">
                  <c:v>Мушкарци</c:v>
                </c:pt>
                <c:pt idx="2">
                  <c:v/>
                </c:pt>
                <c:pt idx="3">
                  <c:v/>
                </c:pt>
              </c:strCache>
            </c:strRef>
          </c:cat>
          <c:val>
            <c:numRef>
              <c:f>0</c:f>
              <c:numCache>
                <c:formatCode>General</c:formatCode>
                <c:ptCount val="4"/>
                <c:pt idx="0">
                  <c:v>0.667</c:v>
                </c:pt>
                <c:pt idx="1">
                  <c:v>0.333</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жене старосна структура</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 учешћа</c:v>
                </c:pt>
              </c:strCache>
            </c:strRef>
          </c:tx>
          <c:spPr>
            <a:solidFill>
              <a:srgbClr val="4472c4"/>
            </a:solidFill>
            <a:ln w="0">
              <a:noFill/>
            </a:ln>
          </c:spPr>
          <c:explosion val="0"/>
          <c:dPt>
            <c:idx val="0"/>
            <c:spPr>
              <a:solidFill>
                <a:srgbClr val="4472c4"/>
              </a:solidFill>
              <a:ln w="25560">
                <a:solidFill>
                  <a:srgbClr val="ffffff"/>
                </a:solidFill>
                <a:round/>
              </a:ln>
            </c:spPr>
          </c:dPt>
          <c:dPt>
            <c:idx val="1"/>
            <c:spPr>
              <a:solidFill>
                <a:srgbClr val="ed7d31"/>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Pt>
            <c:idx val="4"/>
            <c:spPr>
              <a:solidFill>
                <a:srgbClr val="5b9bd5"/>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4"/>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5"/>
                <c:pt idx="0">
                  <c:v>до 20 година</c:v>
                </c:pt>
                <c:pt idx="1">
                  <c:v>21–30 година</c:v>
                </c:pt>
                <c:pt idx="2">
                  <c:v>31–40 година</c:v>
                </c:pt>
                <c:pt idx="3">
                  <c:v>41–50 година</c:v>
                </c:pt>
                <c:pt idx="4">
                  <c:v>50+ година</c:v>
                </c:pt>
              </c:strCache>
            </c:strRef>
          </c:cat>
          <c:val>
            <c:numRef>
              <c:f>0</c:f>
              <c:numCache>
                <c:formatCode>General</c:formatCode>
                <c:ptCount val="5"/>
                <c:pt idx="0">
                  <c:v>0</c:v>
                </c:pt>
                <c:pt idx="1">
                  <c:v>0.083</c:v>
                </c:pt>
                <c:pt idx="2">
                  <c:v>0.542</c:v>
                </c:pt>
                <c:pt idx="3">
                  <c:v>0.25</c:v>
                </c:pt>
                <c:pt idx="4">
                  <c:v>0.125</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RS" sz="1400" spc="-1" strike="noStrike">
                <a:solidFill>
                  <a:srgbClr val="595959"/>
                </a:solidFill>
                <a:latin typeface="Calibri"/>
              </a:defRPr>
            </a:pPr>
            <a:r>
              <a:rPr b="0" lang="sr-RS" sz="1400" spc="-1" strike="noStrike">
                <a:solidFill>
                  <a:srgbClr val="595959"/>
                </a:solidFill>
                <a:latin typeface="Calibri"/>
              </a:rPr>
              <a:t>мушкарци старосна структура</a:t>
            </a:r>
          </a:p>
        </c:rich>
      </c:tx>
      <c:overlay val="0"/>
      <c:spPr>
        <a:noFill/>
        <a:ln w="0">
          <a:noFill/>
        </a:ln>
      </c:spPr>
    </c:title>
    <c:autoTitleDeleted val="0"/>
    <c:view3D>
      <c:rotX val="3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 учешћа</c:v>
                </c:pt>
              </c:strCache>
            </c:strRef>
          </c:tx>
          <c:spPr>
            <a:solidFill>
              <a:srgbClr val="4472c4"/>
            </a:solidFill>
            <a:ln w="0">
              <a:noFill/>
            </a:ln>
          </c:spPr>
          <c:explosion val="0"/>
          <c:dPt>
            <c:idx val="0"/>
            <c:spPr>
              <a:solidFill>
                <a:srgbClr val="4472c4"/>
              </a:solidFill>
              <a:ln w="25560">
                <a:solidFill>
                  <a:srgbClr val="ffffff"/>
                </a:solidFill>
                <a:round/>
              </a:ln>
            </c:spPr>
          </c:dPt>
          <c:dPt>
            <c:idx val="1"/>
            <c:spPr>
              <a:solidFill>
                <a:srgbClr val="ed7d31"/>
              </a:solidFill>
              <a:ln w="25560">
                <a:solidFill>
                  <a:srgbClr val="ffffff"/>
                </a:solidFill>
                <a:round/>
              </a:ln>
            </c:spPr>
          </c:dPt>
          <c:dPt>
            <c:idx val="2"/>
            <c:spPr>
              <a:solidFill>
                <a:srgbClr val="a5a5a5"/>
              </a:solidFill>
              <a:ln w="25560">
                <a:solidFill>
                  <a:srgbClr val="ffffff"/>
                </a:solidFill>
                <a:round/>
              </a:ln>
            </c:spPr>
          </c:dPt>
          <c:dPt>
            <c:idx val="3"/>
            <c:spPr>
              <a:solidFill>
                <a:srgbClr val="ffc000"/>
              </a:solidFill>
              <a:ln w="25560">
                <a:solidFill>
                  <a:srgbClr val="ffffff"/>
                </a:solidFill>
                <a:round/>
              </a:ln>
            </c:spPr>
          </c:dPt>
          <c:dPt>
            <c:idx val="4"/>
            <c:spPr>
              <a:solidFill>
                <a:srgbClr val="5b9bd5"/>
              </a:solidFill>
              <a:ln w="25560">
                <a:solidFill>
                  <a:srgbClr val="ffffff"/>
                </a:solidFill>
                <a:round/>
              </a:ln>
            </c:spPr>
          </c:dPt>
          <c:dLbls>
            <c:dLbl>
              <c:idx val="0"/>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1"/>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2"/>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3"/>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dLbl>
              <c:idx val="4"/>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dLbl>
            <c:txPr>
              <a:bodyPr wrap="square"/>
              <a:lstStyle/>
              <a:p>
                <a:pPr>
                  <a:defRPr b="0" sz="1000" spc="-1" strike="noStrike">
                    <a:solidFill>
                      <a:srgbClr val="000000"/>
                    </a:solidFill>
                    <a:latin typeface="Calibri"/>
                  </a:defRPr>
                </a:pPr>
              </a:p>
            </c:txPr>
            <c:dLblPos val="bestFit"/>
            <c:showLegendKey val="0"/>
            <c:showVal val="0"/>
            <c:showCatName val="0"/>
            <c:showSerName val="0"/>
            <c:showPercent val="0"/>
            <c:separator>; </c:separator>
            <c:showLeaderLines val="1"/>
          </c:dLbls>
          <c:cat>
            <c:strRef>
              <c:f>categories</c:f>
              <c:strCache>
                <c:ptCount val="5"/>
                <c:pt idx="0">
                  <c:v>до 20 година</c:v>
                </c:pt>
                <c:pt idx="1">
                  <c:v>21–30 година</c:v>
                </c:pt>
                <c:pt idx="2">
                  <c:v>31–40 година</c:v>
                </c:pt>
                <c:pt idx="3">
                  <c:v>41–50 година</c:v>
                </c:pt>
                <c:pt idx="4">
                  <c:v>50+ година</c:v>
                </c:pt>
              </c:strCache>
            </c:strRef>
          </c:cat>
          <c:val>
            <c:numRef>
              <c:f>0</c:f>
              <c:numCache>
                <c:formatCode>General</c:formatCode>
                <c:ptCount val="5"/>
                <c:pt idx="0">
                  <c:v>0</c:v>
                </c:pt>
                <c:pt idx="1">
                  <c:v>0.167</c:v>
                </c:pt>
                <c:pt idx="2">
                  <c:v>0.416</c:v>
                </c:pt>
                <c:pt idx="3">
                  <c:v>0.25</c:v>
                </c:pt>
                <c:pt idx="4">
                  <c:v>0.167</c:v>
                </c:pt>
              </c:numCache>
            </c:numRef>
          </c:val>
        </c:ser>
      </c:pie3DChart>
    </c:plotArea>
    <c:legend>
      <c:legendPos val="b"/>
      <c:overlay val="0"/>
      <c:spPr>
        <a:noFill/>
        <a:ln w="0">
          <a:noFill/>
        </a:ln>
      </c:spPr>
      <c:txPr>
        <a:bodyPr/>
        <a:lstStyle/>
        <a:p>
          <a:pPr>
            <a:defRPr b="0" sz="900" spc="-1" strike="noStrike">
              <a:solidFill>
                <a:srgbClr val="595959"/>
              </a:solidFill>
              <a:latin typeface="Calibri"/>
            </a:defRPr>
          </a:pPr>
        </a:p>
      </c:txPr>
    </c:legend>
    <c:plotVisOnly val="1"/>
    <c:dispBlanksAs val="gap"/>
  </c:chart>
  <c:spPr>
    <a:solidFill>
      <a:srgbClr val="ffffff"/>
    </a:solidFill>
    <a:ln w="9360">
      <a:solidFill>
        <a:srgbClr val="d9d9d9"/>
      </a:solidFill>
      <a:round/>
    </a:ln>
  </c:spPr>
  <c:externalData r:id="rId1"/>
</c:chartSpace>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79FF72-0E42-5949-81C5-655CDBF63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Application>LibreOffice/7.6.4.1$Windows_X86_64 LibreOffice_project/e19e193f88cd6c0525a17fb7a176ed8e6a3e2aa1</Application>
  <AppVersion>15.0000</AppVersion>
  <Pages>51</Pages>
  <Words>13992</Words>
  <Characters>88138</Characters>
  <CharactersWithSpaces>101169</CharactersWithSpaces>
  <Paragraphs>855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2025-12-12T14:24:00Z</dcterms:created>
  <dc:creator>Elizabeta Stanimirov</dc:creator>
  <dc:description/>
  <dc:language>sr-RS</dc:language>
  <cp:lastModifiedBy/>
  <cp:lastPrinted>2025-12-22T11:05:34Z</cp:lastPrinted>
  <dcterms:modified xsi:type="dcterms:W3CDTF">2025-12-23T11:37:06Z</dcterms:modified>
  <cp:revision>9</cp:revision>
  <dc:subject/>
  <dc:title/>
</cp:coreProperties>
</file>

<file path=docProps/custom.xml><?xml version="1.0" encoding="utf-8"?>
<Properties xmlns="http://schemas.openxmlformats.org/officeDocument/2006/custom-properties" xmlns:vt="http://schemas.openxmlformats.org/officeDocument/2006/docPropsVTypes"/>
</file>